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E271C" w14:textId="07CF28B9" w:rsidR="00014C44" w:rsidRDefault="00014C44">
      <w:pPr>
        <w:pStyle w:val="Ttulo"/>
        <w:spacing w:line="208" w:lineRule="auto"/>
        <w:rPr>
          <w:spacing w:val="-2"/>
          <w:lang w:val="es-ES"/>
        </w:rPr>
      </w:pPr>
      <w:r w:rsidRPr="00014C44">
        <w:rPr>
          <w:spacing w:val="-2"/>
          <w:highlight w:val="red"/>
          <w:lang w:val="es-ES"/>
        </w:rPr>
        <w:t>VERSION ORIGINAL</w:t>
      </w:r>
      <w:r>
        <w:rPr>
          <w:spacing w:val="-2"/>
          <w:highlight w:val="red"/>
          <w:lang w:val="es-ES"/>
        </w:rPr>
        <w:t>-</w:t>
      </w:r>
    </w:p>
    <w:p w14:paraId="10DD8BF8" w14:textId="5025189D" w:rsidR="00024E26" w:rsidRDefault="00000000">
      <w:pPr>
        <w:pStyle w:val="Ttulo"/>
        <w:spacing w:line="208" w:lineRule="auto"/>
        <w:rPr>
          <w:spacing w:val="-2"/>
          <w:lang w:val="es-ES"/>
        </w:rPr>
      </w:pPr>
      <w:r w:rsidRPr="005A7C10">
        <w:rPr>
          <w:spacing w:val="-2"/>
          <w:lang w:val="es-ES"/>
        </w:rPr>
        <w:t>Informe sobre el estado de derecho 2026: consulta específica a las partes interesadas</w:t>
      </w:r>
    </w:p>
    <w:p w14:paraId="599AB74A" w14:textId="4451BCD6" w:rsidR="00014C44" w:rsidRPr="005A7C10" w:rsidRDefault="00014C44" w:rsidP="00014C44">
      <w:pPr>
        <w:pStyle w:val="Ttulo"/>
        <w:numPr>
          <w:ilvl w:val="0"/>
          <w:numId w:val="18"/>
        </w:numPr>
        <w:spacing w:line="208" w:lineRule="auto"/>
        <w:rPr>
          <w:lang w:val="es-ES"/>
        </w:rPr>
      </w:pPr>
      <w:r>
        <w:rPr>
          <w:spacing w:val="-2"/>
          <w:lang w:val="es-ES"/>
        </w:rPr>
        <w:t>Respuesta Abogacía Española -</w:t>
      </w:r>
    </w:p>
    <w:p w14:paraId="597A5316" w14:textId="5BAE1063" w:rsidR="00024E26" w:rsidRPr="005A7C10" w:rsidRDefault="00014C44" w:rsidP="00014C44">
      <w:pPr>
        <w:pStyle w:val="Textoindependiente"/>
        <w:spacing w:before="8"/>
        <w:rPr>
          <w:sz w:val="19"/>
          <w:lang w:val="es-ES"/>
        </w:rPr>
      </w:pPr>
      <w:r w:rsidRPr="005A7C10">
        <w:rPr>
          <w:sz w:val="19"/>
          <w:lang w:val="es-ES"/>
        </w:rPr>
        <w:t xml:space="preserve"> </w:t>
      </w:r>
    </w:p>
    <w:p w14:paraId="44D25094" w14:textId="77777777" w:rsidR="00024E26" w:rsidRPr="005A7C10" w:rsidRDefault="00024E26">
      <w:pPr>
        <w:pStyle w:val="Textoindependiente"/>
        <w:spacing w:before="199"/>
        <w:rPr>
          <w:sz w:val="19"/>
          <w:lang w:val="es-ES"/>
        </w:rPr>
      </w:pPr>
    </w:p>
    <w:p w14:paraId="536A1295" w14:textId="77777777" w:rsidR="00024E26" w:rsidRPr="005A7C10" w:rsidRDefault="00000000">
      <w:pPr>
        <w:pStyle w:val="Ttulo1"/>
        <w:rPr>
          <w:lang w:val="es-ES"/>
        </w:rPr>
      </w:pPr>
      <w:r w:rsidRPr="005A7C10">
        <w:rPr>
          <w:spacing w:val="-4"/>
          <w:lang w:val="es-ES"/>
        </w:rPr>
        <w:t>Preguntas sobre la evolución horizontal</w:t>
      </w:r>
    </w:p>
    <w:p w14:paraId="2757CFA6" w14:textId="77777777" w:rsidR="00024E26" w:rsidRPr="005A7C10" w:rsidRDefault="00000000">
      <w:pPr>
        <w:pStyle w:val="Textoindependiente"/>
        <w:spacing w:before="1"/>
        <w:rPr>
          <w:sz w:val="9"/>
          <w:lang w:val="es-ES"/>
        </w:rPr>
      </w:pPr>
      <w:r>
        <w:rPr>
          <w:noProof/>
          <w:sz w:val="9"/>
        </w:rPr>
        <mc:AlternateContent>
          <mc:Choice Requires="wps">
            <w:drawing>
              <wp:anchor distT="0" distB="0" distL="0" distR="0" simplePos="0" relativeHeight="487593984" behindDoc="1" locked="0" layoutInCell="1" allowOverlap="1" wp14:anchorId="11FE6DFF" wp14:editId="68CE8582">
                <wp:simplePos x="0" y="0"/>
                <wp:positionH relativeFrom="page">
                  <wp:posOffset>695325</wp:posOffset>
                </wp:positionH>
                <wp:positionV relativeFrom="paragraph">
                  <wp:posOffset>81719</wp:posOffset>
                </wp:positionV>
                <wp:extent cx="6381750" cy="19050"/>
                <wp:effectExtent l="0" t="0" r="0" b="0"/>
                <wp:wrapTopAndBottom/>
                <wp:docPr id="56" name="Graphic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B928D2" id="Graphic 56" o:spid="_x0000_s1026" style="position:absolute;margin-left:54.75pt;margin-top:6.45pt;width:502.5pt;height:1.5pt;z-index:-15722496;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BNV0HPfAAAACgEAAA8AAABkcnMvZG93bnJldi54bWxMj0FPwzAMhe9I/IfI&#10;SNxY0mmbaGk6TUhMwIUxkOCYNqat1jhVk3Xl3+Odxu09++n5c76eXCdGHELrSUMyUyCQKm9bqjV8&#10;fjzd3YMI0ZA1nSfU8IsB1sX1VW4y60/0juM+1oJLKGRGQxNjn0kZqgadCTPfI/Huxw/ORLZDLe1g&#10;TlzuOjlXaiWdaYkvNKbHxwarw/7oNHyvmt3zmzrskvj6Mi7KdLuZvrZa395MmwcQEad4CcMZn9Gh&#10;YKbSH8kG0bFX6ZKjLOYpiHMgSRY8KVktU5BFLv+/UPwBAAD//wMAUEsBAi0AFAAGAAgAAAAhALaD&#10;OJL+AAAA4QEAABMAAAAAAAAAAAAAAAAAAAAAAFtDb250ZW50X1R5cGVzXS54bWxQSwECLQAUAAYA&#10;CAAAACEAOP0h/9YAAACUAQAACwAAAAAAAAAAAAAAAAAvAQAAX3JlbHMvLnJlbHNQSwECLQAUAAYA&#10;CAAAACEAxnCryRkCAADBBAAADgAAAAAAAAAAAAAAAAAuAgAAZHJzL2Uyb0RvYy54bWxQSwECLQAU&#10;AAYACAAAACEAE1XQc98AAAAKAQAADwAAAAAAAAAAAAAAAABzBAAAZHJzL2Rvd25yZXYueG1sUEsF&#10;BgAAAAAEAAQA8wAAAH8FAAAAAA==&#10;" path="m6381750,l,,,19050r6381750,l6381750,xe" fillcolor="black" stroked="f">
                <v:path arrowok="t"/>
                <w10:wrap type="topAndBottom" anchorx="page"/>
              </v:shape>
            </w:pict>
          </mc:Fallback>
        </mc:AlternateContent>
      </w:r>
    </w:p>
    <w:p w14:paraId="76389397" w14:textId="74FA06CC" w:rsidR="00024E26" w:rsidRPr="005A7C10" w:rsidRDefault="00000000" w:rsidP="00014C44">
      <w:pPr>
        <w:spacing w:before="323" w:line="352" w:lineRule="auto"/>
        <w:ind w:left="245"/>
        <w:rPr>
          <w:sz w:val="21"/>
          <w:lang w:val="es-ES"/>
        </w:rPr>
      </w:pPr>
      <w:r w:rsidRPr="005A7C10">
        <w:rPr>
          <w:sz w:val="21"/>
          <w:lang w:val="es-ES"/>
        </w:rPr>
        <w:t xml:space="preserve">En esta sección, se le invita a proporcionar información sobre la evolución o las tendencias horizontales generales, tanto </w:t>
      </w:r>
      <w:r w:rsidRPr="005A7C10">
        <w:rPr>
          <w:spacing w:val="-2"/>
          <w:sz w:val="21"/>
          <w:lang w:val="es-ES"/>
        </w:rPr>
        <w:t>positivas como negativas, que afecten a todos o a varios Estados miembros. En particular, podría mencionar cuestiones que sean</w:t>
      </w:r>
      <w:r w:rsidR="00014C44">
        <w:rPr>
          <w:sz w:val="21"/>
          <w:lang w:val="es-ES"/>
        </w:rPr>
        <w:t xml:space="preserve"> </w:t>
      </w:r>
      <w:r w:rsidRPr="005A7C10">
        <w:rPr>
          <w:sz w:val="21"/>
          <w:lang w:val="es-ES"/>
        </w:rPr>
        <w:t>comunes a varios Estados miembros, así como las mejores prácticas identificadas en un Estado miembro que podrían reproducirse. Además, puede hacer referencia a sus actividades en el ámbito de los cuatro pilares y subtemas (</w:t>
      </w:r>
      <w:r w:rsidRPr="005A7C10">
        <w:rPr>
          <w:spacing w:val="-2"/>
          <w:sz w:val="21"/>
          <w:lang w:val="es-ES"/>
        </w:rPr>
        <w:t xml:space="preserve">a </w:t>
      </w:r>
      <w:proofErr w:type="gramStart"/>
      <w:r w:rsidRPr="005A7C10">
        <w:rPr>
          <w:spacing w:val="-2"/>
          <w:sz w:val="21"/>
          <w:lang w:val="es-ES"/>
        </w:rPr>
        <w:t>continuación</w:t>
      </w:r>
      <w:proofErr w:type="gramEnd"/>
      <w:r w:rsidRPr="005A7C10">
        <w:rPr>
          <w:spacing w:val="-2"/>
          <w:sz w:val="21"/>
          <w:lang w:val="es-ES"/>
        </w:rPr>
        <w:t xml:space="preserve"> se ofrece </w:t>
      </w:r>
      <w:r w:rsidRPr="005A7C10">
        <w:rPr>
          <w:sz w:val="21"/>
          <w:lang w:val="es-ES"/>
        </w:rPr>
        <w:t xml:space="preserve">una </w:t>
      </w:r>
      <w:r w:rsidRPr="005A7C10">
        <w:rPr>
          <w:spacing w:val="-2"/>
          <w:sz w:val="21"/>
          <w:lang w:val="es-ES"/>
        </w:rPr>
        <w:t xml:space="preserve">visión general de todos los subtemas) y, si representa a una red de organizaciones nacionales, </w:t>
      </w:r>
      <w:r w:rsidRPr="005A7C10">
        <w:rPr>
          <w:sz w:val="21"/>
          <w:lang w:val="es-ES"/>
        </w:rPr>
        <w:t>al apoyo que haya prestado a uno de sus miembros nacionales.</w:t>
      </w:r>
    </w:p>
    <w:p w14:paraId="738300A3" w14:textId="77777777" w:rsidR="00024E26" w:rsidRPr="005A7C10" w:rsidRDefault="00024E26">
      <w:pPr>
        <w:pStyle w:val="Textoindependiente"/>
        <w:spacing w:before="64"/>
        <w:rPr>
          <w:sz w:val="21"/>
          <w:lang w:val="es-ES"/>
        </w:rPr>
      </w:pPr>
    </w:p>
    <w:p w14:paraId="03BC65EE" w14:textId="77777777" w:rsidR="00024E26" w:rsidRPr="005A7C10" w:rsidRDefault="00000000">
      <w:pPr>
        <w:pStyle w:val="Textoindependiente"/>
        <w:ind w:left="245"/>
        <w:rPr>
          <w:lang w:val="es-ES"/>
        </w:rPr>
      </w:pPr>
      <w:r w:rsidRPr="005A7C10">
        <w:rPr>
          <w:spacing w:val="-2"/>
          <w:lang w:val="es-ES"/>
        </w:rPr>
        <w:t>Resumen de los temas para la contribución</w:t>
      </w:r>
    </w:p>
    <w:p w14:paraId="6D9F008C" w14:textId="77777777" w:rsidR="00024E26" w:rsidRDefault="00024E26">
      <w:pPr>
        <w:spacing w:before="142"/>
        <w:ind w:left="620"/>
        <w:rPr>
          <w:sz w:val="19"/>
        </w:rPr>
      </w:pPr>
      <w:hyperlink r:id="rId7">
        <w:r>
          <w:rPr>
            <w:color w:val="004493"/>
            <w:spacing w:val="-2"/>
            <w:sz w:val="19"/>
            <w:u w:val="single" w:color="004493"/>
          </w:rPr>
          <w:t>List_of_topics_for_contribution.docx</w:t>
        </w:r>
      </w:hyperlink>
    </w:p>
    <w:p w14:paraId="07E4F7B2" w14:textId="77777777" w:rsidR="00024E26" w:rsidRDefault="00024E26">
      <w:pPr>
        <w:pStyle w:val="Textoindependiente"/>
        <w:spacing w:before="196"/>
        <w:rPr>
          <w:sz w:val="19"/>
        </w:rPr>
      </w:pPr>
    </w:p>
    <w:p w14:paraId="75FF0C73" w14:textId="77777777" w:rsidR="00024E26" w:rsidRPr="005A7C10" w:rsidRDefault="00000000">
      <w:pPr>
        <w:pStyle w:val="Textoindependiente"/>
        <w:ind w:left="245"/>
        <w:rPr>
          <w:lang w:val="es-ES"/>
        </w:rPr>
      </w:pPr>
      <w:r w:rsidRPr="005A7C10">
        <w:rPr>
          <w:spacing w:val="-4"/>
          <w:lang w:val="es-ES"/>
        </w:rPr>
        <w:t>Proporcione aquí cualquier información relevante sobre desarrollos horizontales.</w:t>
      </w:r>
    </w:p>
    <w:p w14:paraId="548D9F19" w14:textId="77777777" w:rsidR="00024E26" w:rsidRPr="005A7C10" w:rsidRDefault="00000000">
      <w:pPr>
        <w:spacing w:before="146"/>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581D5DB8"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594496" behindDoc="1" locked="0" layoutInCell="1" allowOverlap="1" wp14:anchorId="55E4BD11" wp14:editId="43362425">
                <wp:simplePos x="0" y="0"/>
                <wp:positionH relativeFrom="page">
                  <wp:posOffset>885825</wp:posOffset>
                </wp:positionH>
                <wp:positionV relativeFrom="paragraph">
                  <wp:posOffset>53866</wp:posOffset>
                </wp:positionV>
                <wp:extent cx="6191250" cy="390525"/>
                <wp:effectExtent l="0" t="0" r="0" b="0"/>
                <wp:wrapTopAndBottom/>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4B8251CF" id="Graphic 57" o:spid="_x0000_s1026" style="position:absolute;margin-left:69.75pt;margin-top:4.25pt;width:487.5pt;height:30.75pt;z-index:-1572198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6D1683EF" w14:textId="77777777" w:rsidR="00FA0972" w:rsidRPr="00ED3262" w:rsidRDefault="00FA0972" w:rsidP="005F3CD3">
      <w:pPr>
        <w:pStyle w:val="Textoindependiente"/>
        <w:spacing w:before="115"/>
        <w:jc w:val="both"/>
        <w:rPr>
          <w:iCs/>
          <w:sz w:val="22"/>
          <w:szCs w:val="22"/>
          <w:highlight w:val="yellow"/>
          <w:lang w:val="es-ES"/>
        </w:rPr>
      </w:pPr>
      <w:r w:rsidRPr="00ED3262">
        <w:rPr>
          <w:iCs/>
          <w:sz w:val="22"/>
          <w:szCs w:val="22"/>
          <w:highlight w:val="yellow"/>
          <w:lang w:val="es-ES"/>
        </w:rPr>
        <w:t>La Comisión de Venecia ha destacado, en su dictamen sobre la renovación del Consejo General del Poder Judicial (CGPJ), la necesidad de incorporar como vocales a abogados en ejercicio para garantizar la pluralidad del Poder Judicial y evitar el corporativismo.</w:t>
      </w:r>
    </w:p>
    <w:p w14:paraId="13D061F6" w14:textId="77777777" w:rsidR="00FA0972" w:rsidRPr="00ED3262" w:rsidRDefault="00FA0972" w:rsidP="005F3CD3">
      <w:pPr>
        <w:pStyle w:val="Textoindependiente"/>
        <w:spacing w:before="115"/>
        <w:jc w:val="both"/>
        <w:rPr>
          <w:iCs/>
          <w:sz w:val="22"/>
          <w:szCs w:val="22"/>
          <w:highlight w:val="yellow"/>
          <w:lang w:val="es-ES"/>
        </w:rPr>
      </w:pPr>
      <w:r w:rsidRPr="00ED3262">
        <w:rPr>
          <w:iCs/>
          <w:sz w:val="22"/>
          <w:szCs w:val="22"/>
          <w:highlight w:val="yellow"/>
          <w:lang w:val="es-ES"/>
        </w:rPr>
        <w:t>“La composición mixta del Poder Judicial asegura el pluralismo y la rendición de cuentas democrática. Debería enfatizarse además que el Poder Judicial también debe incluir representantes de otras profesiones legales, como abogados en ejercicio y profesores de universidad. La pluralidad es un valor en sí mismo y además sirve para contrarrestar el riesgo de corporativismo”, asegura en </w:t>
      </w:r>
      <w:hyperlink r:id="rId8" w:history="1">
        <w:r w:rsidRPr="00ED3262">
          <w:rPr>
            <w:rStyle w:val="Hipervnculo"/>
            <w:iCs/>
            <w:sz w:val="22"/>
            <w:szCs w:val="22"/>
            <w:highlight w:val="yellow"/>
            <w:lang w:val="es-ES"/>
          </w:rPr>
          <w:t>su dictamen</w:t>
        </w:r>
      </w:hyperlink>
      <w:r w:rsidRPr="00ED3262">
        <w:rPr>
          <w:iCs/>
          <w:sz w:val="22"/>
          <w:szCs w:val="22"/>
          <w:highlight w:val="yellow"/>
          <w:lang w:val="es-ES"/>
        </w:rPr>
        <w:t> la Comisión de Venecia, en línea con lo que reclama la Abogacía.</w:t>
      </w:r>
    </w:p>
    <w:p w14:paraId="3C4AD0D7" w14:textId="77777777" w:rsidR="00FA0972" w:rsidRPr="00ED3262" w:rsidRDefault="00FA0972" w:rsidP="005F3CD3">
      <w:pPr>
        <w:pStyle w:val="Textoindependiente"/>
        <w:spacing w:before="115"/>
        <w:jc w:val="both"/>
        <w:rPr>
          <w:iCs/>
          <w:sz w:val="22"/>
          <w:szCs w:val="22"/>
          <w:highlight w:val="yellow"/>
          <w:lang w:val="es-ES"/>
        </w:rPr>
      </w:pPr>
      <w:r w:rsidRPr="00ED3262">
        <w:rPr>
          <w:iCs/>
          <w:sz w:val="22"/>
          <w:szCs w:val="22"/>
          <w:highlight w:val="yellow"/>
          <w:lang w:val="es-ES"/>
        </w:rPr>
        <w:t>Este dictamen sobre el sistema de elección de los miembros judiciales del Consejo General del Poder Judicial (CGPJ) de España ha sido aprobado en la 144ª sesión plenaria de la Comisión de Venecia. Una delegación de este organismo visitó Madrid a mediados de septiembre para reunirse con las principales instituciones, entre ellas el Consejo General de la Abogacía Española, de cara a la preparación del informe.</w:t>
      </w:r>
    </w:p>
    <w:p w14:paraId="1D3AA3F8" w14:textId="77777777" w:rsidR="00FA0972" w:rsidRPr="00ED3262" w:rsidRDefault="00FA0972" w:rsidP="005F3CD3">
      <w:pPr>
        <w:pStyle w:val="Textoindependiente"/>
        <w:spacing w:before="115"/>
        <w:jc w:val="both"/>
        <w:rPr>
          <w:iCs/>
          <w:sz w:val="22"/>
          <w:szCs w:val="22"/>
          <w:highlight w:val="yellow"/>
          <w:lang w:val="es-ES"/>
        </w:rPr>
      </w:pPr>
      <w:r w:rsidRPr="00ED3262">
        <w:rPr>
          <w:iCs/>
          <w:sz w:val="22"/>
          <w:szCs w:val="22"/>
          <w:highlight w:val="yellow"/>
          <w:lang w:val="es-ES"/>
        </w:rPr>
        <w:t>En su dictamen la Comisión de Venecia menciona la visita que hizo al Consejo General de la Abogacía Española y agradece a las autoridades españolas por la “excelente organización de la visita” que incluyó también reuniones con el Senado, el Congreso, el Gobierno o el Tribunal Supremo, entre otras instituciones y autoridades.</w:t>
      </w:r>
    </w:p>
    <w:p w14:paraId="6DB12F17" w14:textId="77777777" w:rsidR="00FA0972" w:rsidRPr="00ED3262" w:rsidRDefault="00FA0972" w:rsidP="005F3CD3">
      <w:pPr>
        <w:pStyle w:val="Textoindependiente"/>
        <w:spacing w:before="115"/>
        <w:jc w:val="both"/>
        <w:rPr>
          <w:iCs/>
          <w:sz w:val="22"/>
          <w:szCs w:val="22"/>
          <w:highlight w:val="yellow"/>
          <w:lang w:val="es-ES"/>
        </w:rPr>
      </w:pPr>
      <w:r w:rsidRPr="00ED3262">
        <w:rPr>
          <w:iCs/>
          <w:sz w:val="22"/>
          <w:szCs w:val="22"/>
          <w:highlight w:val="yellow"/>
          <w:lang w:val="es-ES"/>
        </w:rPr>
        <w:t>En su dictamen la Comisión de Venecia asegura que ve problemas de «politización externa e interna» en las dos propuestas de modelos de elección de los vocales judiciales del Consejo General del Poder Judicial (CGPJ).</w:t>
      </w:r>
    </w:p>
    <w:p w14:paraId="416888EE" w14:textId="77777777" w:rsidR="00FA0972" w:rsidRPr="00ED3262" w:rsidRDefault="00FA0972" w:rsidP="005F3CD3">
      <w:pPr>
        <w:pStyle w:val="Textoindependiente"/>
        <w:spacing w:before="115"/>
        <w:jc w:val="both"/>
        <w:rPr>
          <w:iCs/>
          <w:sz w:val="22"/>
          <w:szCs w:val="22"/>
          <w:highlight w:val="yellow"/>
          <w:lang w:val="es-ES"/>
        </w:rPr>
      </w:pPr>
      <w:r w:rsidRPr="00ED3262">
        <w:rPr>
          <w:iCs/>
          <w:sz w:val="22"/>
          <w:szCs w:val="22"/>
          <w:highlight w:val="yellow"/>
          <w:lang w:val="es-ES"/>
        </w:rPr>
        <w:t>En su </w:t>
      </w:r>
      <w:hyperlink r:id="rId9" w:history="1">
        <w:r w:rsidRPr="00ED3262">
          <w:rPr>
            <w:rStyle w:val="Hipervnculo"/>
            <w:iCs/>
            <w:sz w:val="22"/>
            <w:szCs w:val="22"/>
            <w:highlight w:val="yellow"/>
            <w:lang w:val="es-ES"/>
          </w:rPr>
          <w:t>reunión con los representantes de la Comisión de Venecia</w:t>
        </w:r>
      </w:hyperlink>
      <w:r w:rsidRPr="00ED3262">
        <w:rPr>
          <w:iCs/>
          <w:sz w:val="22"/>
          <w:szCs w:val="22"/>
          <w:highlight w:val="yellow"/>
          <w:lang w:val="es-ES"/>
        </w:rPr>
        <w:t> en septiembre, la Abogacía les trasladó la enorme relevancia de que el futuro Consejo del Poder Judicial, que nazca del cambio de modelo de elección de sus vocales, cuente de forma obligatoria entre sus miembros con representantes de la abogacía.</w:t>
      </w:r>
    </w:p>
    <w:p w14:paraId="6259EACD" w14:textId="77777777" w:rsidR="00FA0972" w:rsidRPr="00ED3262" w:rsidRDefault="00FA0972" w:rsidP="005F3CD3">
      <w:pPr>
        <w:pStyle w:val="Textoindependiente"/>
        <w:spacing w:before="115"/>
        <w:jc w:val="both"/>
        <w:rPr>
          <w:iCs/>
          <w:sz w:val="22"/>
          <w:szCs w:val="22"/>
          <w:lang w:val="es-ES"/>
        </w:rPr>
      </w:pPr>
      <w:r w:rsidRPr="00ED3262">
        <w:rPr>
          <w:iCs/>
          <w:sz w:val="22"/>
          <w:szCs w:val="22"/>
          <w:highlight w:val="yellow"/>
          <w:lang w:val="es-ES"/>
        </w:rPr>
        <w:lastRenderedPageBreak/>
        <w:t>La secretaria general del Consejo, Encarna Orduna les explicó que la presencia de la abogacía en este poder del Estado, además de ser un mandato legal contemplado en las actuales leyes, refuerza su independencia de la política y contribuye a generar un órgano más plural, enfocado siempre al servicio a la sociedad.</w:t>
      </w:r>
    </w:p>
    <w:p w14:paraId="7E093E21" w14:textId="77777777" w:rsidR="00FA0972" w:rsidRDefault="00FA0972" w:rsidP="005F3CD3">
      <w:pPr>
        <w:pStyle w:val="Textoindependiente"/>
        <w:spacing w:before="115"/>
        <w:jc w:val="both"/>
        <w:rPr>
          <w:i/>
          <w:sz w:val="19"/>
          <w:lang w:val="es-ES"/>
        </w:rPr>
      </w:pPr>
      <w:hyperlink r:id="rId10" w:history="1">
        <w:r w:rsidRPr="00FA0972">
          <w:rPr>
            <w:rStyle w:val="Hipervnculo"/>
            <w:i/>
            <w:sz w:val="19"/>
            <w:lang w:val="es-ES"/>
          </w:rPr>
          <w:t>La Comisión de Venecia señala que la incorporación de abogados en ejercicio como vocales garantiza la pluralidad del CGPJ – Abogacía Española</w:t>
        </w:r>
      </w:hyperlink>
    </w:p>
    <w:p w14:paraId="68076060" w14:textId="77777777" w:rsidR="00FA0972" w:rsidRPr="00FA0972" w:rsidRDefault="00FA0972" w:rsidP="005F3CD3">
      <w:pPr>
        <w:pStyle w:val="Textoindependiente"/>
        <w:spacing w:before="115"/>
        <w:jc w:val="both"/>
        <w:rPr>
          <w:i/>
          <w:sz w:val="19"/>
          <w:lang w:val="es-ES"/>
        </w:rPr>
      </w:pPr>
    </w:p>
    <w:p w14:paraId="6F49F092" w14:textId="77777777" w:rsidR="00FA0972" w:rsidRPr="005A7C10" w:rsidRDefault="00FA0972">
      <w:pPr>
        <w:pStyle w:val="Textoindependiente"/>
        <w:spacing w:before="115"/>
        <w:rPr>
          <w:i/>
          <w:sz w:val="19"/>
          <w:lang w:val="es-ES"/>
        </w:rPr>
      </w:pPr>
    </w:p>
    <w:p w14:paraId="396CE28C" w14:textId="77777777" w:rsidR="00024E26" w:rsidRPr="005A7C10" w:rsidRDefault="00000000">
      <w:pPr>
        <w:pStyle w:val="Ttulo1"/>
        <w:rPr>
          <w:lang w:val="es-ES"/>
        </w:rPr>
      </w:pPr>
      <w:r w:rsidRPr="005A7C10">
        <w:rPr>
          <w:spacing w:val="-2"/>
          <w:lang w:val="es-ES"/>
        </w:rPr>
        <w:t>Preguntas para la contribución</w:t>
      </w:r>
    </w:p>
    <w:p w14:paraId="213BEC27" w14:textId="77777777" w:rsidR="00024E26" w:rsidRPr="005A7C10" w:rsidRDefault="00000000">
      <w:pPr>
        <w:pStyle w:val="Textoindependiente"/>
        <w:spacing w:before="1"/>
        <w:rPr>
          <w:sz w:val="9"/>
          <w:lang w:val="es-ES"/>
        </w:rPr>
      </w:pPr>
      <w:r>
        <w:rPr>
          <w:noProof/>
          <w:sz w:val="9"/>
        </w:rPr>
        <mc:AlternateContent>
          <mc:Choice Requires="wps">
            <w:drawing>
              <wp:anchor distT="0" distB="0" distL="0" distR="0" simplePos="0" relativeHeight="487595008" behindDoc="1" locked="0" layoutInCell="1" allowOverlap="1" wp14:anchorId="0F1579A9" wp14:editId="45E8F02E">
                <wp:simplePos x="0" y="0"/>
                <wp:positionH relativeFrom="page">
                  <wp:posOffset>695325</wp:posOffset>
                </wp:positionH>
                <wp:positionV relativeFrom="paragraph">
                  <wp:posOffset>81627</wp:posOffset>
                </wp:positionV>
                <wp:extent cx="6381750" cy="19050"/>
                <wp:effectExtent l="0" t="0" r="0" b="0"/>
                <wp:wrapTopAndBottom/>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A31776F" id="Graphic 58" o:spid="_x0000_s1026" style="position:absolute;margin-left:54.75pt;margin-top:6.45pt;width:502.5pt;height:1.5pt;z-index:-15721472;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BNV0HPfAAAACgEAAA8AAABkcnMvZG93bnJldi54bWxMj0FPwzAMhe9I/IfI&#10;SNxY0mmbaGk6TUhMwIUxkOCYNqat1jhVk3Xl3+Odxu09++n5c76eXCdGHELrSUMyUyCQKm9bqjV8&#10;fjzd3YMI0ZA1nSfU8IsB1sX1VW4y60/0juM+1oJLKGRGQxNjn0kZqgadCTPfI/Huxw/ORLZDLe1g&#10;TlzuOjlXaiWdaYkvNKbHxwarw/7oNHyvmt3zmzrskvj6Mi7KdLuZvrZa395MmwcQEad4CcMZn9Gh&#10;YKbSH8kG0bFX6ZKjLOYpiHMgSRY8KVktU5BFLv+/UPwBAAD//wMAUEsBAi0AFAAGAAgAAAAhALaD&#10;OJL+AAAA4QEAABMAAAAAAAAAAAAAAAAAAAAAAFtDb250ZW50X1R5cGVzXS54bWxQSwECLQAUAAYA&#10;CAAAACEAOP0h/9YAAACUAQAACwAAAAAAAAAAAAAAAAAvAQAAX3JlbHMvLnJlbHNQSwECLQAUAAYA&#10;CAAAACEAxnCryRkCAADBBAAADgAAAAAAAAAAAAAAAAAuAgAAZHJzL2Uyb0RvYy54bWxQSwECLQAU&#10;AAYACAAAACEAE1XQc98AAAAKAQAADwAAAAAAAAAAAAAAAABzBAAAZHJzL2Rvd25yZXYueG1sUEsF&#10;BgAAAAAEAAQA8wAAAH8FAAAAAA==&#10;" path="m6381750,l,,,19050r6381750,l6381750,xe" fillcolor="black" stroked="f">
                <v:path arrowok="t"/>
                <w10:wrap type="topAndBottom" anchorx="page"/>
              </v:shape>
            </w:pict>
          </mc:Fallback>
        </mc:AlternateContent>
      </w:r>
    </w:p>
    <w:p w14:paraId="12DF5F19" w14:textId="77777777" w:rsidR="00024E26" w:rsidRPr="005A7C10" w:rsidRDefault="00000000">
      <w:pPr>
        <w:spacing w:before="323" w:line="352" w:lineRule="auto"/>
        <w:ind w:left="245" w:right="50"/>
        <w:jc w:val="both"/>
        <w:rPr>
          <w:sz w:val="21"/>
          <w:lang w:val="es-ES"/>
        </w:rPr>
      </w:pPr>
      <w:r w:rsidRPr="005A7C10">
        <w:rPr>
          <w:sz w:val="21"/>
          <w:lang w:val="es-ES"/>
        </w:rPr>
        <w:t xml:space="preserve">En cada pilar, se le invita a proporcionar información sobre las medidas adoptadas para aplicar las recomendaciones dirigidas al Estado miembro en el informe sobre el Estado de Derecho de 2025, así como sobre la evolución de los puntos planteados en el capítulo correspondiente a cada país del informe sobre el Estado de Derecho de 2025 y cualquier otra evolución significativa desde enero de 2025 hasta la fecha de </w:t>
      </w:r>
      <w:proofErr w:type="gramStart"/>
      <w:r w:rsidRPr="005A7C10">
        <w:rPr>
          <w:sz w:val="21"/>
          <w:lang w:val="es-ES"/>
        </w:rPr>
        <w:t>presentación[</w:t>
      </w:r>
      <w:proofErr w:type="gramEnd"/>
      <w:r w:rsidRPr="005A7C10">
        <w:rPr>
          <w:sz w:val="21"/>
          <w:lang w:val="es-ES"/>
        </w:rPr>
        <w:t>3].</w:t>
      </w:r>
      <w:r w:rsidRPr="005A7C10">
        <w:rPr>
          <w:spacing w:val="-14"/>
          <w:sz w:val="21"/>
          <w:lang w:val="es-ES"/>
        </w:rPr>
        <w:t xml:space="preserve"> </w:t>
      </w:r>
      <w:r w:rsidRPr="005A7C10">
        <w:rPr>
          <w:sz w:val="21"/>
          <w:lang w:val="es-ES"/>
        </w:rPr>
        <w:t xml:space="preserve">Incluya siempre un enlace </w:t>
      </w:r>
      <w:r w:rsidRPr="005A7C10">
        <w:rPr>
          <w:spacing w:val="-2"/>
          <w:sz w:val="21"/>
          <w:lang w:val="es-ES"/>
        </w:rPr>
        <w:t xml:space="preserve">y una referencia a la legislación o los documentos pertinentes (en el idioma nacional y/o, cuando esté disponible, en inglés). </w:t>
      </w:r>
      <w:r w:rsidRPr="005A7C10">
        <w:rPr>
          <w:b/>
          <w:sz w:val="21"/>
          <w:lang w:val="es-ES"/>
        </w:rPr>
        <w:t xml:space="preserve">Los avances significativos </w:t>
      </w:r>
      <w:r w:rsidRPr="005A7C10">
        <w:rPr>
          <w:sz w:val="21"/>
          <w:lang w:val="es-ES"/>
        </w:rPr>
        <w:t>pueden incluir retos, avances positivos y buenas prácticas, tanto en lo que se refiere a la legislación como a la aplicación y las prácticas.</w:t>
      </w:r>
    </w:p>
    <w:p w14:paraId="1E500E23" w14:textId="77777777" w:rsidR="00024E26" w:rsidRPr="005A7C10" w:rsidRDefault="00024E26">
      <w:pPr>
        <w:pStyle w:val="Textoindependiente"/>
        <w:spacing w:before="119"/>
        <w:rPr>
          <w:sz w:val="21"/>
          <w:lang w:val="es-ES"/>
        </w:rPr>
      </w:pPr>
    </w:p>
    <w:p w14:paraId="003B1635" w14:textId="77777777" w:rsidR="00024E26" w:rsidRPr="005A7C10" w:rsidRDefault="00000000">
      <w:pPr>
        <w:ind w:left="245"/>
        <w:rPr>
          <w:sz w:val="21"/>
          <w:lang w:val="es-ES"/>
        </w:rPr>
      </w:pPr>
      <w:r w:rsidRPr="005A7C10">
        <w:rPr>
          <w:sz w:val="21"/>
          <w:lang w:val="es-ES"/>
        </w:rPr>
        <w:t xml:space="preserve">La información proporcionada en respuesta a </w:t>
      </w:r>
      <w:r w:rsidRPr="005A7C10">
        <w:rPr>
          <w:sz w:val="21"/>
          <w:u w:val="single"/>
          <w:lang w:val="es-ES"/>
        </w:rPr>
        <w:t xml:space="preserve">la primera pregunta de cada </w:t>
      </w:r>
      <w:r w:rsidRPr="005A7C10">
        <w:rPr>
          <w:sz w:val="21"/>
          <w:lang w:val="es-ES"/>
        </w:rPr>
        <w:t xml:space="preserve">pilar, relacionada con el seguimiento de </w:t>
      </w:r>
      <w:r w:rsidRPr="005A7C10">
        <w:rPr>
          <w:spacing w:val="-5"/>
          <w:sz w:val="21"/>
          <w:lang w:val="es-ES"/>
        </w:rPr>
        <w:t>las</w:t>
      </w:r>
    </w:p>
    <w:p w14:paraId="75CF9949" w14:textId="77777777" w:rsidR="00024E26" w:rsidRPr="005A7C10" w:rsidRDefault="00000000">
      <w:pPr>
        <w:spacing w:before="114" w:line="352" w:lineRule="auto"/>
        <w:ind w:left="245" w:right="51"/>
        <w:jc w:val="both"/>
        <w:rPr>
          <w:sz w:val="21"/>
          <w:lang w:val="es-ES"/>
        </w:rPr>
      </w:pPr>
      <w:r w:rsidRPr="005A7C10">
        <w:rPr>
          <w:sz w:val="21"/>
          <w:lang w:val="es-ES"/>
        </w:rPr>
        <w:t xml:space="preserve">no es necesario repetirla en las partes siguientes del cuestionario, pero puede hacerse referencia a ella en las preguntas siguientes, cuando proceda. El resto de </w:t>
      </w:r>
      <w:proofErr w:type="gramStart"/>
      <w:r w:rsidRPr="005A7C10">
        <w:rPr>
          <w:sz w:val="21"/>
          <w:lang w:val="es-ES"/>
        </w:rPr>
        <w:t>preguntas</w:t>
      </w:r>
      <w:proofErr w:type="gramEnd"/>
      <w:r w:rsidRPr="005A7C10">
        <w:rPr>
          <w:sz w:val="21"/>
          <w:lang w:val="es-ES"/>
        </w:rPr>
        <w:t xml:space="preserve"> no se limitan a las recomendaciones, sino que, al igual que en años anteriores, abarcan todo el ámbito del informe.</w:t>
      </w:r>
    </w:p>
    <w:p w14:paraId="383881E7" w14:textId="77777777" w:rsidR="00024E26" w:rsidRPr="005A7C10" w:rsidRDefault="00024E26">
      <w:pPr>
        <w:pStyle w:val="Textoindependiente"/>
        <w:spacing w:before="159"/>
        <w:rPr>
          <w:sz w:val="21"/>
          <w:lang w:val="es-ES"/>
        </w:rPr>
      </w:pPr>
    </w:p>
    <w:p w14:paraId="6ADC50DC" w14:textId="77777777" w:rsidR="00024E26" w:rsidRPr="005A7C10" w:rsidRDefault="00000000">
      <w:pPr>
        <w:pStyle w:val="Prrafodelista"/>
        <w:numPr>
          <w:ilvl w:val="0"/>
          <w:numId w:val="7"/>
        </w:numPr>
        <w:tabs>
          <w:tab w:val="left" w:pos="462"/>
        </w:tabs>
        <w:ind w:hanging="217"/>
        <w:rPr>
          <w:sz w:val="16"/>
          <w:lang w:val="es-ES"/>
        </w:rPr>
      </w:pPr>
      <w:r w:rsidRPr="005A7C10">
        <w:rPr>
          <w:spacing w:val="-2"/>
          <w:sz w:val="16"/>
          <w:lang w:val="es-ES"/>
        </w:rPr>
        <w:t>A menos que ya se hayan tratado en las aportaciones a los anteriores informes sobre el Estado de Derecho.</w:t>
      </w:r>
    </w:p>
    <w:p w14:paraId="2116EEE0" w14:textId="77777777" w:rsidR="00024E26" w:rsidRPr="005A7C10" w:rsidRDefault="00024E26">
      <w:pPr>
        <w:pStyle w:val="Textoindependiente"/>
        <w:rPr>
          <w:sz w:val="16"/>
          <w:lang w:val="es-ES"/>
        </w:rPr>
      </w:pPr>
    </w:p>
    <w:p w14:paraId="07D6D109" w14:textId="77777777" w:rsidR="00024E26" w:rsidRPr="005A7C10" w:rsidRDefault="00024E26">
      <w:pPr>
        <w:pStyle w:val="Textoindependiente"/>
        <w:spacing w:before="63"/>
        <w:rPr>
          <w:sz w:val="16"/>
          <w:lang w:val="es-ES"/>
        </w:rPr>
      </w:pPr>
    </w:p>
    <w:p w14:paraId="571DE896" w14:textId="77777777" w:rsidR="00024E26" w:rsidRPr="005A7C10" w:rsidRDefault="00000000">
      <w:pPr>
        <w:pStyle w:val="Textoindependiente"/>
        <w:ind w:left="245"/>
        <w:jc w:val="both"/>
        <w:rPr>
          <w:lang w:val="es-ES"/>
        </w:rPr>
      </w:pPr>
      <w:r w:rsidRPr="005A7C10">
        <w:rPr>
          <w:spacing w:val="-4"/>
          <w:lang w:val="es-ES"/>
        </w:rPr>
        <w:t xml:space="preserve">Estado miembro/país candidato a la adhesión cubierto en la contribución </w:t>
      </w:r>
      <w:r w:rsidRPr="005A7C10">
        <w:rPr>
          <w:spacing w:val="-4"/>
          <w:u w:val="single"/>
          <w:lang w:val="es-ES"/>
        </w:rPr>
        <w:t>[solo se puede elegir una opción]</w:t>
      </w:r>
    </w:p>
    <w:p w14:paraId="3170A3AD" w14:textId="77777777" w:rsidR="00024E26" w:rsidRPr="005A7C10" w:rsidRDefault="00024E26">
      <w:pPr>
        <w:pStyle w:val="Textoindependiente"/>
        <w:rPr>
          <w:sz w:val="20"/>
          <w:lang w:val="es-ES"/>
        </w:rPr>
      </w:pPr>
    </w:p>
    <w:p w14:paraId="4943EDE0" w14:textId="77777777" w:rsidR="00024E26" w:rsidRPr="005A7C10" w:rsidRDefault="00024E26">
      <w:pPr>
        <w:pStyle w:val="Textoindependiente"/>
        <w:spacing w:before="207"/>
        <w:rPr>
          <w:sz w:val="20"/>
          <w:lang w:val="es-ES"/>
        </w:rPr>
      </w:pPr>
    </w:p>
    <w:p w14:paraId="4E0995E6" w14:textId="77777777" w:rsidR="00024E26" w:rsidRPr="005A7C10" w:rsidRDefault="00000000">
      <w:pPr>
        <w:spacing w:line="475" w:lineRule="auto"/>
        <w:ind w:left="245" w:right="224"/>
        <w:rPr>
          <w:b/>
          <w:sz w:val="20"/>
          <w:lang w:val="es-ES"/>
        </w:rPr>
      </w:pPr>
      <w:r w:rsidRPr="005A7C10">
        <w:rPr>
          <w:b/>
          <w:sz w:val="20"/>
          <w:lang w:val="es-ES"/>
        </w:rPr>
        <w:t>Si desea presentar información relativa a varios Estados miembros/países candidatos a la adhesión, rellene el cuestionario por separado para cada país. No hay límite en el número de contribuciones que puede presentar un solo participante.</w:t>
      </w:r>
    </w:p>
    <w:p w14:paraId="60C86521" w14:textId="77777777" w:rsidR="00024E26" w:rsidRDefault="00000000">
      <w:pPr>
        <w:pStyle w:val="Prrafodelista"/>
        <w:numPr>
          <w:ilvl w:val="0"/>
          <w:numId w:val="4"/>
        </w:numPr>
        <w:tabs>
          <w:tab w:val="left" w:pos="890"/>
        </w:tabs>
        <w:spacing w:line="262" w:lineRule="exact"/>
        <w:rPr>
          <w:sz w:val="27"/>
        </w:rPr>
      </w:pPr>
      <w:r>
        <w:rPr>
          <w:spacing w:val="-2"/>
          <w:sz w:val="27"/>
        </w:rPr>
        <w:t>Albania</w:t>
      </w:r>
    </w:p>
    <w:p w14:paraId="02DC9542" w14:textId="77777777" w:rsidR="00024E26" w:rsidRDefault="00000000">
      <w:pPr>
        <w:pStyle w:val="Prrafodelista"/>
        <w:numPr>
          <w:ilvl w:val="0"/>
          <w:numId w:val="4"/>
        </w:numPr>
        <w:tabs>
          <w:tab w:val="left" w:pos="890"/>
        </w:tabs>
        <w:spacing w:before="160"/>
        <w:rPr>
          <w:sz w:val="27"/>
        </w:rPr>
      </w:pPr>
      <w:r>
        <w:rPr>
          <w:spacing w:val="-2"/>
          <w:sz w:val="27"/>
        </w:rPr>
        <w:t>Austria</w:t>
      </w:r>
    </w:p>
    <w:p w14:paraId="6356B887" w14:textId="77777777" w:rsidR="00024E26" w:rsidRDefault="00000000">
      <w:pPr>
        <w:pStyle w:val="Prrafodelista"/>
        <w:numPr>
          <w:ilvl w:val="0"/>
          <w:numId w:val="4"/>
        </w:numPr>
        <w:tabs>
          <w:tab w:val="left" w:pos="890"/>
        </w:tabs>
        <w:spacing w:before="161"/>
        <w:rPr>
          <w:sz w:val="27"/>
        </w:rPr>
      </w:pPr>
      <w:proofErr w:type="spellStart"/>
      <w:r>
        <w:rPr>
          <w:spacing w:val="-2"/>
          <w:sz w:val="27"/>
        </w:rPr>
        <w:t>Bélgica</w:t>
      </w:r>
      <w:proofErr w:type="spellEnd"/>
    </w:p>
    <w:p w14:paraId="10F1EBB0" w14:textId="77777777" w:rsidR="00024E26" w:rsidRDefault="00000000">
      <w:pPr>
        <w:pStyle w:val="Prrafodelista"/>
        <w:numPr>
          <w:ilvl w:val="0"/>
          <w:numId w:val="4"/>
        </w:numPr>
        <w:tabs>
          <w:tab w:val="left" w:pos="890"/>
        </w:tabs>
        <w:spacing w:before="160"/>
        <w:rPr>
          <w:sz w:val="27"/>
        </w:rPr>
      </w:pPr>
      <w:r>
        <w:rPr>
          <w:spacing w:val="-2"/>
          <w:sz w:val="27"/>
        </w:rPr>
        <w:t>Bulgaria</w:t>
      </w:r>
    </w:p>
    <w:p w14:paraId="2BEB84D9" w14:textId="77777777" w:rsidR="00024E26" w:rsidRDefault="00000000">
      <w:pPr>
        <w:pStyle w:val="Prrafodelista"/>
        <w:numPr>
          <w:ilvl w:val="0"/>
          <w:numId w:val="4"/>
        </w:numPr>
        <w:tabs>
          <w:tab w:val="left" w:pos="890"/>
        </w:tabs>
        <w:spacing w:before="160"/>
        <w:rPr>
          <w:sz w:val="27"/>
        </w:rPr>
      </w:pPr>
      <w:proofErr w:type="spellStart"/>
      <w:r>
        <w:rPr>
          <w:spacing w:val="-2"/>
          <w:sz w:val="27"/>
        </w:rPr>
        <w:t>Croacia</w:t>
      </w:r>
      <w:proofErr w:type="spellEnd"/>
    </w:p>
    <w:p w14:paraId="05543E5F" w14:textId="77777777" w:rsidR="00024E26" w:rsidRDefault="00024E26">
      <w:pPr>
        <w:pStyle w:val="Prrafodelista"/>
        <w:rPr>
          <w:sz w:val="27"/>
        </w:rPr>
        <w:sectPr w:rsidR="00024E26">
          <w:footerReference w:type="default" r:id="rId11"/>
          <w:pgSz w:w="11910" w:h="16840"/>
          <w:pgMar w:top="660" w:right="708" w:bottom="480" w:left="850" w:header="0" w:footer="293" w:gutter="0"/>
          <w:cols w:space="720"/>
        </w:sectPr>
      </w:pPr>
    </w:p>
    <w:p w14:paraId="0BE96535" w14:textId="77777777" w:rsidR="00024E26" w:rsidRDefault="00000000">
      <w:pPr>
        <w:pStyle w:val="Prrafodelista"/>
        <w:numPr>
          <w:ilvl w:val="0"/>
          <w:numId w:val="4"/>
        </w:numPr>
        <w:tabs>
          <w:tab w:val="left" w:pos="890"/>
        </w:tabs>
        <w:spacing w:before="52"/>
        <w:rPr>
          <w:sz w:val="27"/>
        </w:rPr>
      </w:pPr>
      <w:r>
        <w:rPr>
          <w:spacing w:val="-2"/>
          <w:sz w:val="27"/>
        </w:rPr>
        <w:lastRenderedPageBreak/>
        <w:t>Chipre</w:t>
      </w:r>
    </w:p>
    <w:p w14:paraId="13DC598E" w14:textId="77777777" w:rsidR="00024E26" w:rsidRDefault="00000000">
      <w:pPr>
        <w:pStyle w:val="Prrafodelista"/>
        <w:numPr>
          <w:ilvl w:val="0"/>
          <w:numId w:val="4"/>
        </w:numPr>
        <w:tabs>
          <w:tab w:val="left" w:pos="890"/>
        </w:tabs>
        <w:spacing w:before="160"/>
        <w:rPr>
          <w:sz w:val="27"/>
        </w:rPr>
      </w:pPr>
      <w:proofErr w:type="spellStart"/>
      <w:r>
        <w:rPr>
          <w:spacing w:val="-2"/>
          <w:sz w:val="27"/>
        </w:rPr>
        <w:t>Chequia</w:t>
      </w:r>
      <w:proofErr w:type="spellEnd"/>
    </w:p>
    <w:p w14:paraId="07645203" w14:textId="77777777" w:rsidR="00024E26" w:rsidRDefault="00000000">
      <w:pPr>
        <w:pStyle w:val="Prrafodelista"/>
        <w:numPr>
          <w:ilvl w:val="0"/>
          <w:numId w:val="4"/>
        </w:numPr>
        <w:tabs>
          <w:tab w:val="left" w:pos="890"/>
        </w:tabs>
        <w:spacing w:before="160"/>
        <w:rPr>
          <w:sz w:val="27"/>
        </w:rPr>
      </w:pPr>
      <w:r>
        <w:rPr>
          <w:spacing w:val="-2"/>
          <w:sz w:val="27"/>
        </w:rPr>
        <w:t>Dinamarca</w:t>
      </w:r>
    </w:p>
    <w:p w14:paraId="2EAB0420" w14:textId="77777777" w:rsidR="00024E26" w:rsidRDefault="00000000">
      <w:pPr>
        <w:pStyle w:val="Prrafodelista"/>
        <w:numPr>
          <w:ilvl w:val="0"/>
          <w:numId w:val="4"/>
        </w:numPr>
        <w:tabs>
          <w:tab w:val="left" w:pos="890"/>
        </w:tabs>
        <w:spacing w:before="161"/>
        <w:rPr>
          <w:sz w:val="27"/>
        </w:rPr>
      </w:pPr>
      <w:r>
        <w:rPr>
          <w:spacing w:val="-2"/>
          <w:sz w:val="27"/>
        </w:rPr>
        <w:t>Estonia</w:t>
      </w:r>
    </w:p>
    <w:p w14:paraId="71C9FA97" w14:textId="77777777" w:rsidR="00024E26" w:rsidRDefault="00000000">
      <w:pPr>
        <w:pStyle w:val="Prrafodelista"/>
        <w:numPr>
          <w:ilvl w:val="0"/>
          <w:numId w:val="4"/>
        </w:numPr>
        <w:tabs>
          <w:tab w:val="left" w:pos="890"/>
        </w:tabs>
        <w:spacing w:before="160"/>
        <w:rPr>
          <w:sz w:val="27"/>
        </w:rPr>
      </w:pPr>
      <w:r>
        <w:rPr>
          <w:spacing w:val="-2"/>
          <w:sz w:val="27"/>
        </w:rPr>
        <w:t>Finlandia</w:t>
      </w:r>
    </w:p>
    <w:p w14:paraId="6C9F712F" w14:textId="77777777" w:rsidR="00024E26" w:rsidRDefault="00000000">
      <w:pPr>
        <w:pStyle w:val="Prrafodelista"/>
        <w:numPr>
          <w:ilvl w:val="0"/>
          <w:numId w:val="4"/>
        </w:numPr>
        <w:tabs>
          <w:tab w:val="left" w:pos="890"/>
        </w:tabs>
        <w:spacing w:before="160"/>
        <w:rPr>
          <w:sz w:val="27"/>
        </w:rPr>
      </w:pPr>
      <w:r>
        <w:rPr>
          <w:spacing w:val="-2"/>
          <w:sz w:val="27"/>
        </w:rPr>
        <w:t>Francia</w:t>
      </w:r>
    </w:p>
    <w:p w14:paraId="3BC5FB81" w14:textId="77777777" w:rsidR="00024E26" w:rsidRDefault="00000000">
      <w:pPr>
        <w:pStyle w:val="Prrafodelista"/>
        <w:numPr>
          <w:ilvl w:val="0"/>
          <w:numId w:val="4"/>
        </w:numPr>
        <w:tabs>
          <w:tab w:val="left" w:pos="890"/>
        </w:tabs>
        <w:spacing w:before="161"/>
        <w:rPr>
          <w:sz w:val="27"/>
        </w:rPr>
      </w:pPr>
      <w:r>
        <w:rPr>
          <w:spacing w:val="-2"/>
          <w:sz w:val="27"/>
        </w:rPr>
        <w:t>Alemania</w:t>
      </w:r>
    </w:p>
    <w:p w14:paraId="354E5F34" w14:textId="77777777" w:rsidR="00024E26" w:rsidRDefault="00000000">
      <w:pPr>
        <w:pStyle w:val="Prrafodelista"/>
        <w:numPr>
          <w:ilvl w:val="0"/>
          <w:numId w:val="4"/>
        </w:numPr>
        <w:tabs>
          <w:tab w:val="left" w:pos="890"/>
        </w:tabs>
        <w:spacing w:before="160"/>
        <w:rPr>
          <w:sz w:val="27"/>
        </w:rPr>
      </w:pPr>
      <w:r>
        <w:rPr>
          <w:spacing w:val="-2"/>
          <w:sz w:val="27"/>
        </w:rPr>
        <w:t>Grecia</w:t>
      </w:r>
    </w:p>
    <w:p w14:paraId="1AA7117B" w14:textId="77777777" w:rsidR="00024E26" w:rsidRDefault="00000000">
      <w:pPr>
        <w:pStyle w:val="Prrafodelista"/>
        <w:numPr>
          <w:ilvl w:val="0"/>
          <w:numId w:val="4"/>
        </w:numPr>
        <w:tabs>
          <w:tab w:val="left" w:pos="890"/>
        </w:tabs>
        <w:spacing w:before="160"/>
        <w:rPr>
          <w:sz w:val="27"/>
        </w:rPr>
      </w:pPr>
      <w:proofErr w:type="spellStart"/>
      <w:r>
        <w:rPr>
          <w:spacing w:val="-2"/>
          <w:sz w:val="27"/>
        </w:rPr>
        <w:t>Hungría</w:t>
      </w:r>
      <w:proofErr w:type="spellEnd"/>
    </w:p>
    <w:p w14:paraId="16564905" w14:textId="77777777" w:rsidR="00024E26" w:rsidRDefault="00000000">
      <w:pPr>
        <w:pStyle w:val="Prrafodelista"/>
        <w:numPr>
          <w:ilvl w:val="0"/>
          <w:numId w:val="4"/>
        </w:numPr>
        <w:tabs>
          <w:tab w:val="left" w:pos="890"/>
        </w:tabs>
        <w:spacing w:before="161"/>
        <w:rPr>
          <w:sz w:val="27"/>
        </w:rPr>
      </w:pPr>
      <w:r>
        <w:rPr>
          <w:spacing w:val="-2"/>
          <w:sz w:val="27"/>
        </w:rPr>
        <w:t>Irlanda</w:t>
      </w:r>
    </w:p>
    <w:p w14:paraId="073BF42D" w14:textId="77777777" w:rsidR="00024E26" w:rsidRDefault="00000000">
      <w:pPr>
        <w:pStyle w:val="Prrafodelista"/>
        <w:numPr>
          <w:ilvl w:val="0"/>
          <w:numId w:val="4"/>
        </w:numPr>
        <w:tabs>
          <w:tab w:val="left" w:pos="890"/>
        </w:tabs>
        <w:spacing w:before="160"/>
        <w:rPr>
          <w:sz w:val="27"/>
        </w:rPr>
      </w:pPr>
      <w:r>
        <w:rPr>
          <w:spacing w:val="-2"/>
          <w:sz w:val="27"/>
        </w:rPr>
        <w:t>Italia</w:t>
      </w:r>
    </w:p>
    <w:p w14:paraId="22130E08" w14:textId="77777777" w:rsidR="00024E26" w:rsidRDefault="00000000">
      <w:pPr>
        <w:pStyle w:val="Prrafodelista"/>
        <w:numPr>
          <w:ilvl w:val="0"/>
          <w:numId w:val="4"/>
        </w:numPr>
        <w:tabs>
          <w:tab w:val="left" w:pos="890"/>
        </w:tabs>
        <w:spacing w:before="160"/>
        <w:rPr>
          <w:sz w:val="27"/>
        </w:rPr>
      </w:pPr>
      <w:r>
        <w:rPr>
          <w:spacing w:val="-2"/>
          <w:sz w:val="27"/>
        </w:rPr>
        <w:t>Letonia</w:t>
      </w:r>
    </w:p>
    <w:p w14:paraId="500E1EC6" w14:textId="77777777" w:rsidR="00024E26" w:rsidRDefault="00000000">
      <w:pPr>
        <w:pStyle w:val="Prrafodelista"/>
        <w:numPr>
          <w:ilvl w:val="0"/>
          <w:numId w:val="4"/>
        </w:numPr>
        <w:tabs>
          <w:tab w:val="left" w:pos="890"/>
        </w:tabs>
        <w:spacing w:before="160"/>
        <w:rPr>
          <w:sz w:val="27"/>
        </w:rPr>
      </w:pPr>
      <w:proofErr w:type="spellStart"/>
      <w:r>
        <w:rPr>
          <w:spacing w:val="-2"/>
          <w:sz w:val="27"/>
        </w:rPr>
        <w:t>Lituania</w:t>
      </w:r>
      <w:proofErr w:type="spellEnd"/>
    </w:p>
    <w:p w14:paraId="48BF71EA" w14:textId="77777777" w:rsidR="00024E26" w:rsidRDefault="00000000">
      <w:pPr>
        <w:pStyle w:val="Prrafodelista"/>
        <w:numPr>
          <w:ilvl w:val="0"/>
          <w:numId w:val="4"/>
        </w:numPr>
        <w:tabs>
          <w:tab w:val="left" w:pos="890"/>
        </w:tabs>
        <w:spacing w:before="160"/>
        <w:rPr>
          <w:sz w:val="27"/>
        </w:rPr>
      </w:pPr>
      <w:proofErr w:type="spellStart"/>
      <w:r>
        <w:rPr>
          <w:spacing w:val="-2"/>
          <w:sz w:val="27"/>
        </w:rPr>
        <w:t>Luxemburgo</w:t>
      </w:r>
      <w:proofErr w:type="spellEnd"/>
    </w:p>
    <w:p w14:paraId="7381EBA1" w14:textId="77777777" w:rsidR="00024E26" w:rsidRDefault="00000000">
      <w:pPr>
        <w:pStyle w:val="Prrafodelista"/>
        <w:numPr>
          <w:ilvl w:val="0"/>
          <w:numId w:val="4"/>
        </w:numPr>
        <w:tabs>
          <w:tab w:val="left" w:pos="890"/>
        </w:tabs>
        <w:spacing w:before="161"/>
        <w:rPr>
          <w:sz w:val="27"/>
        </w:rPr>
      </w:pPr>
      <w:r>
        <w:rPr>
          <w:spacing w:val="-2"/>
          <w:sz w:val="27"/>
        </w:rPr>
        <w:t>Malta</w:t>
      </w:r>
    </w:p>
    <w:p w14:paraId="5A398695" w14:textId="77777777" w:rsidR="00024E26" w:rsidRDefault="00000000">
      <w:pPr>
        <w:pStyle w:val="Prrafodelista"/>
        <w:numPr>
          <w:ilvl w:val="0"/>
          <w:numId w:val="4"/>
        </w:numPr>
        <w:tabs>
          <w:tab w:val="left" w:pos="890"/>
        </w:tabs>
        <w:spacing w:before="160"/>
        <w:rPr>
          <w:sz w:val="27"/>
        </w:rPr>
      </w:pPr>
      <w:r>
        <w:rPr>
          <w:spacing w:val="-2"/>
          <w:sz w:val="27"/>
        </w:rPr>
        <w:t>Montenegro</w:t>
      </w:r>
    </w:p>
    <w:p w14:paraId="6BECEF26" w14:textId="77777777" w:rsidR="00024E26" w:rsidRDefault="00000000">
      <w:pPr>
        <w:pStyle w:val="Prrafodelista"/>
        <w:numPr>
          <w:ilvl w:val="0"/>
          <w:numId w:val="4"/>
        </w:numPr>
        <w:tabs>
          <w:tab w:val="left" w:pos="890"/>
        </w:tabs>
        <w:spacing w:before="160"/>
        <w:rPr>
          <w:sz w:val="27"/>
        </w:rPr>
      </w:pPr>
      <w:proofErr w:type="spellStart"/>
      <w:r>
        <w:rPr>
          <w:spacing w:val="-2"/>
          <w:sz w:val="27"/>
        </w:rPr>
        <w:t>Países</w:t>
      </w:r>
      <w:proofErr w:type="spellEnd"/>
      <w:r>
        <w:rPr>
          <w:spacing w:val="-2"/>
          <w:sz w:val="27"/>
        </w:rPr>
        <w:t xml:space="preserve"> Bajos</w:t>
      </w:r>
    </w:p>
    <w:p w14:paraId="7B9F69A8" w14:textId="77777777" w:rsidR="00024E26" w:rsidRDefault="00000000">
      <w:pPr>
        <w:pStyle w:val="Prrafodelista"/>
        <w:numPr>
          <w:ilvl w:val="0"/>
          <w:numId w:val="4"/>
        </w:numPr>
        <w:tabs>
          <w:tab w:val="left" w:pos="890"/>
        </w:tabs>
        <w:spacing w:before="161"/>
        <w:rPr>
          <w:sz w:val="27"/>
        </w:rPr>
      </w:pPr>
      <w:r>
        <w:rPr>
          <w:spacing w:val="-2"/>
          <w:sz w:val="27"/>
        </w:rPr>
        <w:t>Macedonia del Norte</w:t>
      </w:r>
    </w:p>
    <w:p w14:paraId="2DA53EC1" w14:textId="77777777" w:rsidR="00024E26" w:rsidRDefault="00000000">
      <w:pPr>
        <w:pStyle w:val="Prrafodelista"/>
        <w:numPr>
          <w:ilvl w:val="0"/>
          <w:numId w:val="4"/>
        </w:numPr>
        <w:tabs>
          <w:tab w:val="left" w:pos="890"/>
        </w:tabs>
        <w:spacing w:before="160"/>
        <w:rPr>
          <w:sz w:val="27"/>
        </w:rPr>
      </w:pPr>
      <w:r>
        <w:rPr>
          <w:spacing w:val="-2"/>
          <w:sz w:val="27"/>
        </w:rPr>
        <w:t>Polonia</w:t>
      </w:r>
    </w:p>
    <w:p w14:paraId="37653B2B" w14:textId="77777777" w:rsidR="00024E26" w:rsidRDefault="00000000">
      <w:pPr>
        <w:pStyle w:val="Prrafodelista"/>
        <w:numPr>
          <w:ilvl w:val="0"/>
          <w:numId w:val="4"/>
        </w:numPr>
        <w:tabs>
          <w:tab w:val="left" w:pos="890"/>
        </w:tabs>
        <w:spacing w:before="161"/>
        <w:rPr>
          <w:sz w:val="27"/>
        </w:rPr>
      </w:pPr>
      <w:r>
        <w:rPr>
          <w:spacing w:val="-2"/>
          <w:sz w:val="27"/>
        </w:rPr>
        <w:t>Portugal</w:t>
      </w:r>
    </w:p>
    <w:p w14:paraId="419BBE48" w14:textId="77777777" w:rsidR="00024E26" w:rsidRDefault="00000000">
      <w:pPr>
        <w:pStyle w:val="Prrafodelista"/>
        <w:numPr>
          <w:ilvl w:val="0"/>
          <w:numId w:val="4"/>
        </w:numPr>
        <w:tabs>
          <w:tab w:val="left" w:pos="890"/>
        </w:tabs>
        <w:spacing w:before="160"/>
        <w:rPr>
          <w:sz w:val="27"/>
        </w:rPr>
      </w:pPr>
      <w:proofErr w:type="spellStart"/>
      <w:r>
        <w:rPr>
          <w:spacing w:val="-2"/>
          <w:sz w:val="27"/>
        </w:rPr>
        <w:t>Rumanía</w:t>
      </w:r>
      <w:proofErr w:type="spellEnd"/>
    </w:p>
    <w:p w14:paraId="0EDFABF2" w14:textId="77777777" w:rsidR="00024E26" w:rsidRDefault="00000000">
      <w:pPr>
        <w:pStyle w:val="Prrafodelista"/>
        <w:numPr>
          <w:ilvl w:val="0"/>
          <w:numId w:val="4"/>
        </w:numPr>
        <w:tabs>
          <w:tab w:val="left" w:pos="890"/>
        </w:tabs>
        <w:spacing w:before="160"/>
        <w:rPr>
          <w:sz w:val="27"/>
        </w:rPr>
      </w:pPr>
      <w:r>
        <w:rPr>
          <w:spacing w:val="-2"/>
          <w:sz w:val="27"/>
        </w:rPr>
        <w:t>Serbia</w:t>
      </w:r>
    </w:p>
    <w:p w14:paraId="35D429F2" w14:textId="77777777" w:rsidR="00024E26" w:rsidRDefault="00000000">
      <w:pPr>
        <w:pStyle w:val="Prrafodelista"/>
        <w:numPr>
          <w:ilvl w:val="0"/>
          <w:numId w:val="4"/>
        </w:numPr>
        <w:tabs>
          <w:tab w:val="left" w:pos="890"/>
        </w:tabs>
        <w:spacing w:before="161"/>
        <w:rPr>
          <w:sz w:val="27"/>
        </w:rPr>
      </w:pPr>
      <w:proofErr w:type="spellStart"/>
      <w:r>
        <w:rPr>
          <w:spacing w:val="-2"/>
          <w:sz w:val="27"/>
        </w:rPr>
        <w:t>Eslovaquia</w:t>
      </w:r>
      <w:proofErr w:type="spellEnd"/>
    </w:p>
    <w:p w14:paraId="275A0A3F" w14:textId="77777777" w:rsidR="00024E26" w:rsidRDefault="00000000">
      <w:pPr>
        <w:pStyle w:val="Prrafodelista"/>
        <w:numPr>
          <w:ilvl w:val="0"/>
          <w:numId w:val="4"/>
        </w:numPr>
        <w:tabs>
          <w:tab w:val="left" w:pos="890"/>
        </w:tabs>
        <w:spacing w:before="160"/>
        <w:rPr>
          <w:sz w:val="27"/>
        </w:rPr>
      </w:pPr>
      <w:proofErr w:type="spellStart"/>
      <w:r>
        <w:rPr>
          <w:spacing w:val="-2"/>
          <w:sz w:val="27"/>
        </w:rPr>
        <w:t>Eslovenia</w:t>
      </w:r>
      <w:proofErr w:type="spellEnd"/>
    </w:p>
    <w:p w14:paraId="4447EADA" w14:textId="77777777" w:rsidR="00024E26" w:rsidRDefault="00000000">
      <w:pPr>
        <w:pStyle w:val="Prrafodelista"/>
        <w:numPr>
          <w:ilvl w:val="0"/>
          <w:numId w:val="4"/>
        </w:numPr>
        <w:tabs>
          <w:tab w:val="left" w:pos="890"/>
        </w:tabs>
        <w:spacing w:before="160"/>
        <w:rPr>
          <w:sz w:val="27"/>
        </w:rPr>
      </w:pPr>
      <w:r>
        <w:rPr>
          <w:spacing w:val="-2"/>
          <w:sz w:val="27"/>
        </w:rPr>
        <w:t>España</w:t>
      </w:r>
    </w:p>
    <w:p w14:paraId="1609907A" w14:textId="77777777" w:rsidR="00024E26" w:rsidRDefault="00000000">
      <w:pPr>
        <w:pStyle w:val="Prrafodelista"/>
        <w:numPr>
          <w:ilvl w:val="0"/>
          <w:numId w:val="4"/>
        </w:numPr>
        <w:tabs>
          <w:tab w:val="left" w:pos="890"/>
        </w:tabs>
        <w:spacing w:before="161"/>
        <w:rPr>
          <w:sz w:val="27"/>
        </w:rPr>
      </w:pPr>
      <w:proofErr w:type="spellStart"/>
      <w:r>
        <w:rPr>
          <w:spacing w:val="-2"/>
          <w:sz w:val="27"/>
        </w:rPr>
        <w:t>Suecia</w:t>
      </w:r>
      <w:proofErr w:type="spellEnd"/>
    </w:p>
    <w:p w14:paraId="07F865A6" w14:textId="77777777" w:rsidR="00024E26" w:rsidRDefault="00024E26">
      <w:pPr>
        <w:pStyle w:val="Textoindependiente"/>
        <w:spacing w:before="119"/>
        <w:rPr>
          <w:sz w:val="30"/>
        </w:rPr>
      </w:pPr>
    </w:p>
    <w:p w14:paraId="5F60562A" w14:textId="77777777" w:rsidR="00024E26" w:rsidRDefault="00000000">
      <w:pPr>
        <w:pStyle w:val="Ttulo1"/>
        <w:numPr>
          <w:ilvl w:val="0"/>
          <w:numId w:val="3"/>
        </w:numPr>
        <w:tabs>
          <w:tab w:val="left" w:pos="477"/>
        </w:tabs>
        <w:ind w:left="477" w:hanging="232"/>
      </w:pPr>
      <w:r>
        <w:rPr>
          <w:spacing w:val="-2"/>
        </w:rPr>
        <w:t xml:space="preserve">Sistema </w:t>
      </w:r>
      <w:r>
        <w:t>judicial</w:t>
      </w:r>
    </w:p>
    <w:p w14:paraId="0DD66054" w14:textId="77777777" w:rsidR="00024E26" w:rsidRDefault="00000000">
      <w:pPr>
        <w:pStyle w:val="Textoindependiente"/>
        <w:rPr>
          <w:sz w:val="9"/>
        </w:rPr>
      </w:pPr>
      <w:r>
        <w:rPr>
          <w:noProof/>
          <w:sz w:val="9"/>
        </w:rPr>
        <mc:AlternateContent>
          <mc:Choice Requires="wps">
            <w:drawing>
              <wp:anchor distT="0" distB="0" distL="0" distR="0" simplePos="0" relativeHeight="487595520" behindDoc="1" locked="0" layoutInCell="1" allowOverlap="1" wp14:anchorId="1452FFDD" wp14:editId="4F2E6B05">
                <wp:simplePos x="0" y="0"/>
                <wp:positionH relativeFrom="page">
                  <wp:posOffset>695325</wp:posOffset>
                </wp:positionH>
                <wp:positionV relativeFrom="paragraph">
                  <wp:posOffset>81548</wp:posOffset>
                </wp:positionV>
                <wp:extent cx="6381750" cy="19050"/>
                <wp:effectExtent l="0" t="0" r="0" b="0"/>
                <wp:wrapTopAndBottom/>
                <wp:docPr id="59" name="Graphic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E74F344" id="Graphic 59" o:spid="_x0000_s1026" style="position:absolute;margin-left:54.75pt;margin-top:6.4pt;width:502.5pt;height:1.5pt;z-index:-15720960;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FTCwiTeAAAACgEAAA8AAABkcnMvZG93bnJldi54bWxMT0FOwzAQvCPxB2uR&#10;uFE7VVu1aZyqQqICLpSCRI9OvCRR43UUu2n4PdsT3GZ2RrMz2WZ0rRiwD40nDclEgUAqvW2o0vD5&#10;8fSwBBGiIWtaT6jhBwNs8tubzKTWX+gdh0OsBIdQSI2GOsYulTKUNToTJr5DYu3b985Epn0lbW8u&#10;HO5aOVVqIZ1piD/UpsPHGsvT4ew0HBf1/vlNnfZJfH0ZZsVqtx2/dlrf343bNYiIY/wzw7U+V4ec&#10;OxX+TDaIlrlazdnKYMoTroYkmfGlYDRfgswz+X9C/gsAAP//AwBQSwECLQAUAAYACAAAACEAtoM4&#10;kv4AAADhAQAAEwAAAAAAAAAAAAAAAAAAAAAAW0NvbnRlbnRfVHlwZXNdLnhtbFBLAQItABQABgAI&#10;AAAAIQA4/SH/1gAAAJQBAAALAAAAAAAAAAAAAAAAAC8BAABfcmVscy8ucmVsc1BLAQItABQABgAI&#10;AAAAIQDGcKvJGQIAAMEEAAAOAAAAAAAAAAAAAAAAAC4CAABkcnMvZTJvRG9jLnhtbFBLAQItABQA&#10;BgAIAAAAIQBUwsIk3gAAAAoBAAAPAAAAAAAAAAAAAAAAAHMEAABkcnMvZG93bnJldi54bWxQSwUG&#10;AAAAAAQABADzAAAAfgUAAAAA&#10;" path="m6381750,l,,,19050r6381750,l6381750,xe" fillcolor="black" stroked="f">
                <v:path arrowok="t"/>
                <w10:wrap type="topAndBottom" anchorx="page"/>
              </v:shape>
            </w:pict>
          </mc:Fallback>
        </mc:AlternateContent>
      </w:r>
    </w:p>
    <w:p w14:paraId="743A2C89" w14:textId="77777777" w:rsidR="00024E26" w:rsidRPr="005A7C10" w:rsidRDefault="00000000">
      <w:pPr>
        <w:pStyle w:val="Textoindependiente"/>
        <w:spacing w:before="330" w:line="352" w:lineRule="auto"/>
        <w:ind w:left="245"/>
        <w:rPr>
          <w:lang w:val="es-ES"/>
        </w:rPr>
      </w:pPr>
      <w:r w:rsidRPr="005A7C10">
        <w:rPr>
          <w:lang w:val="es-ES"/>
        </w:rPr>
        <w:t>Sírvase proporcionar información sobre las medidas adoptadas para dar seguimiento a las recomendaciones recibidas en el Informe 2025 en relación con el sistema judicial (si procede).</w:t>
      </w:r>
    </w:p>
    <w:p w14:paraId="76CB828C" w14:textId="77777777" w:rsidR="00024E26" w:rsidRDefault="00000000">
      <w:pPr>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785C1B95" w14:textId="77777777" w:rsidR="00024E26" w:rsidRDefault="00024E26">
      <w:pPr>
        <w:rPr>
          <w:i/>
          <w:sz w:val="19"/>
        </w:rPr>
        <w:sectPr w:rsidR="00024E26">
          <w:pgSz w:w="11910" w:h="16840"/>
          <w:pgMar w:top="680" w:right="708" w:bottom="480" w:left="850" w:header="0" w:footer="293" w:gutter="0"/>
          <w:cols w:space="720"/>
        </w:sectPr>
      </w:pPr>
    </w:p>
    <w:p w14:paraId="009B2489" w14:textId="77777777" w:rsidR="00024E26" w:rsidRDefault="00000000">
      <w:pPr>
        <w:ind w:left="545" w:right="-15"/>
        <w:rPr>
          <w:sz w:val="20"/>
        </w:rPr>
      </w:pPr>
      <w:r>
        <w:rPr>
          <w:noProof/>
          <w:sz w:val="20"/>
        </w:rPr>
        <w:lastRenderedPageBreak/>
        <mc:AlternateContent>
          <mc:Choice Requires="wpg">
            <w:drawing>
              <wp:inline distT="0" distB="0" distL="0" distR="0" wp14:anchorId="42CC7F53" wp14:editId="3A3D6B32">
                <wp:extent cx="6191250" cy="390525"/>
                <wp:effectExtent l="0" t="0" r="0" b="0"/>
                <wp:docPr id="6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1250" cy="390525"/>
                          <a:chOff x="0" y="0"/>
                          <a:chExt cx="6191250" cy="390525"/>
                        </a:xfrm>
                      </wpg:grpSpPr>
                      <wps:wsp>
                        <wps:cNvPr id="61" name="Graphic 61"/>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wpg:wgp>
                  </a:graphicData>
                </a:graphic>
              </wp:inline>
            </w:drawing>
          </mc:Choice>
          <mc:Fallback>
            <w:pict>
              <v:group w14:anchorId="3C65D7C5" id="Group 60" o:spid="_x0000_s1026" style="width:487.5pt;height:30.75pt;mso-position-horizontal-relative:char;mso-position-vertical-relative:line" coordsize="61912,3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U5BmQIAADAHAAAOAAAAZHJzL2Uyb0RvYy54bWykVW1P2zAQ/j5p/8Hy95G0CAYRKWIwqkkI&#10;kGDaZ9dxXjTH9s5uU/79zk6cZiCYCoqUnO3H57vnnnPOzretJBsBttEqp7ODlBKhuC4aVeX05+P1&#10;lxNKrGOqYFIrkdMnYen54vOns85kYq5rLQsBBJ0om3Ump7VzJksSy2vRMnugjVC4WGpomcMhVEkB&#10;rEPvrUzmaXqcdBoKA5oLa3H2ql+ki+C/LAV3d2VphSMypxibC28I75V/J4szllXATN3wIQz2jiha&#10;1ig8dHR1xRwja2heuGobDtrq0h1w3Sa6LBsuQg6YzSx9ls0S9NqEXKqsq8xIE1L7jKd3u+W3myWY&#10;B3MPffRo3mj+2yIvSWeqbLrux9UOvC2h9ZswCbINjD6NjIqtIxwnj2ens/kREs9x7fA0PZof9ZTz&#10;GuvyYhuvv7+9MWFZf2wIbgymM6geuyPIfoygh5oZEXi3noB7IE3hc6FEsRZFvBz0gjPIkz8cUZ7D&#10;YWQHOj/A0Jgoy/jauqXQgWu2ubGu12wRLVZHi29VNAGV7zUvg+YdJah5oAQ1v+oLYJjz+3wBvUm6&#10;SbHqsVZ+udUb8agD0PmKjTWN5cZYdxip/sWezL5izckEGxHxawavO+TpIBN0HEHx+xJ8eDJL09DI&#10;r8KDPx/CPti9gtgL/Haw2Cz/JavH7Prp1cyntdoT/jxKLrUVKD08ywtmNIKIcHIqU6tlU1w3UnrV&#10;WKhWlxLIhqEev134x0sQt0xg2M826/vGWytdPGHbddhoObV/1gwEJfKHwsb2t3g0IBqraICTlzrc&#10;9UGwYN3j9hcDQwyaOXV4Md3q2N8si/3kkxqxfqfSF2uny8Y3W4itj2gY4F0TrHAth1SGX4i/96fj&#10;gNr96BZ/AQAA//8DAFBLAwQUAAYACAAAACEAGIn9GtsAAAAEAQAADwAAAGRycy9kb3ducmV2Lnht&#10;bEyPQUvDQBCF74L/YRnBm91ESbUxm1KKeiqCrSC9TZNpEpqdDdltkv57Ry96efB4w3vfZMvJtmqg&#10;3jeODcSzCBRx4cqGKwOfu9e7J1A+IJfYOiYDF/KwzK+vMkxLN/IHDdtQKSlhn6KBOoQu1doXNVn0&#10;M9cRS3Z0vcUgtq902eMo5bbV91E01xYbloUaO1rXVJy2Z2vgbcRx9RC/DJvTcX3Z75L3r01Mxtze&#10;TKtnUIGm8HcMP/iCDrkwHdyZS69aA/JI+FXJFo+J2IOBeZyAzjP9Hz7/BgAA//8DAFBLAQItABQA&#10;BgAIAAAAIQC2gziS/gAAAOEBAAATAAAAAAAAAAAAAAAAAAAAAABbQ29udGVudF9UeXBlc10ueG1s&#10;UEsBAi0AFAAGAAgAAAAhADj9If/WAAAAlAEAAAsAAAAAAAAAAAAAAAAALwEAAF9yZWxzLy5yZWxz&#10;UEsBAi0AFAAGAAgAAAAhAEvZTkGZAgAAMAcAAA4AAAAAAAAAAAAAAAAALgIAAGRycy9lMm9Eb2Mu&#10;eG1sUEsBAi0AFAAGAAgAAAAhABiJ/RrbAAAABAEAAA8AAAAAAAAAAAAAAAAA8wQAAGRycy9kb3du&#10;cmV2LnhtbFBLBQYAAAAABAAEAPMAAAD7BQAAAAA=&#10;">
                <v:shape id="Graphic 61" o:spid="_x0000_s1027" style="position:absolute;width:61912;height:3905;visibility:visible;mso-wrap-style:square;v-text-anchor:top" coordsize="6191250,39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wEixAAAANsAAAAPAAAAZHJzL2Rvd25yZXYueG1sRI9Ra8Iw&#10;FIXfB/sP4Q58m2mFiXRGGQNFhhOt254vzV1a1tyUJLXdvzeDgY+Hc853OMv1aFtxIR8axwryaQaC&#10;uHK6YaPg47x5XIAIEVlj65gU/FKA9er+bomFdgOf6FJGIxKEQ4EK6hi7QspQ1WQxTF1HnLxv5y3G&#10;JL2R2uOQ4LaVsyybS4sNp4UaO3qtqfope6tg3Oa+L98/e+Obp24/fB2O5q1XavIwvjyDiDTGW/i/&#10;vdMK5jn8fUk/QK6uAAAA//8DAFBLAQItABQABgAIAAAAIQDb4fbL7gAAAIUBAAATAAAAAAAAAAAA&#10;AAAAAAAAAABbQ29udGVudF9UeXBlc10ueG1sUEsBAi0AFAAGAAgAAAAhAFr0LFu/AAAAFQEAAAsA&#10;AAAAAAAAAAAAAAAAHwEAAF9yZWxzLy5yZWxzUEsBAi0AFAAGAAgAAAAhAFbnASLEAAAA2wAAAA8A&#10;AAAAAAAAAAAAAAAABwIAAGRycy9kb3ducmV2LnhtbFBLBQYAAAAAAwADALcAAAD4AgAAAAA=&#10;" path="m6191250,r-9525,l6181725,9525r,371475l9525,381000r,-371475l6181725,9525r,-9525l,,,390525r6191250,l6191250,xe" fillcolor="#bababa" stroked="f">
                  <v:path arrowok="t"/>
                </v:shape>
                <w10:anchorlock/>
              </v:group>
            </w:pict>
          </mc:Fallback>
        </mc:AlternateContent>
      </w:r>
    </w:p>
    <w:p w14:paraId="5AD5438E" w14:textId="77777777" w:rsidR="00024E26" w:rsidRDefault="00024E26">
      <w:pPr>
        <w:pStyle w:val="Textoindependiente"/>
        <w:spacing w:before="147"/>
        <w:rPr>
          <w:i/>
        </w:rPr>
      </w:pPr>
    </w:p>
    <w:p w14:paraId="428D89BC" w14:textId="77777777" w:rsidR="00024E26" w:rsidRDefault="00000000">
      <w:pPr>
        <w:pStyle w:val="Prrafodelista"/>
        <w:numPr>
          <w:ilvl w:val="1"/>
          <w:numId w:val="3"/>
        </w:numPr>
        <w:tabs>
          <w:tab w:val="left" w:pos="559"/>
        </w:tabs>
        <w:ind w:hanging="314"/>
        <w:rPr>
          <w:sz w:val="27"/>
        </w:rPr>
      </w:pPr>
      <w:proofErr w:type="spellStart"/>
      <w:r>
        <w:rPr>
          <w:spacing w:val="-2"/>
          <w:sz w:val="27"/>
        </w:rPr>
        <w:t>Independencia</w:t>
      </w:r>
      <w:proofErr w:type="spellEnd"/>
    </w:p>
    <w:p w14:paraId="4AE9CCDC" w14:textId="77777777" w:rsidR="00024E26" w:rsidRDefault="00024E26">
      <w:pPr>
        <w:pStyle w:val="Textoindependiente"/>
        <w:spacing w:before="135"/>
      </w:pPr>
    </w:p>
    <w:p w14:paraId="0664EC6B" w14:textId="77777777" w:rsidR="00024E26" w:rsidRPr="005A7C10" w:rsidRDefault="00000000">
      <w:pPr>
        <w:pStyle w:val="Textoindependiente"/>
        <w:spacing w:line="352" w:lineRule="auto"/>
        <w:ind w:left="245"/>
        <w:rPr>
          <w:lang w:val="es-ES"/>
        </w:rPr>
      </w:pPr>
      <w:r w:rsidRPr="005A7C10">
        <w:rPr>
          <w:spacing w:val="-2"/>
          <w:lang w:val="es-ES"/>
        </w:rPr>
        <w:t>Nombramiento y selección de jueces, fiscales y presidentes de tribunales (incluida la revisión judicial).</w:t>
      </w:r>
    </w:p>
    <w:p w14:paraId="68CE65D6" w14:textId="77777777" w:rsidR="00024E26" w:rsidRPr="005A7C10" w:rsidRDefault="00000000">
      <w:pPr>
        <w:spacing w:before="108"/>
        <w:ind w:left="245"/>
        <w:rPr>
          <w:i/>
          <w:sz w:val="16"/>
          <w:lang w:val="es-ES"/>
        </w:rPr>
      </w:pPr>
      <w:r w:rsidRPr="005A7C10">
        <w:rPr>
          <w:i/>
          <w:sz w:val="16"/>
          <w:lang w:val="es-ES"/>
        </w:rPr>
        <w:t xml:space="preserve">(La referencia a «jueces» se refiere a los jueces de todos los niveles y tipos de tribunales, así como a los jueces de </w:t>
      </w:r>
      <w:r w:rsidRPr="005A7C10">
        <w:rPr>
          <w:i/>
          <w:spacing w:val="-2"/>
          <w:sz w:val="16"/>
          <w:lang w:val="es-ES"/>
        </w:rPr>
        <w:t xml:space="preserve">los tribunales </w:t>
      </w:r>
      <w:r w:rsidRPr="005A7C10">
        <w:rPr>
          <w:i/>
          <w:sz w:val="16"/>
          <w:lang w:val="es-ES"/>
        </w:rPr>
        <w:t>constitucionales</w:t>
      </w:r>
      <w:r w:rsidRPr="005A7C10">
        <w:rPr>
          <w:i/>
          <w:spacing w:val="-2"/>
          <w:sz w:val="16"/>
          <w:lang w:val="es-ES"/>
        </w:rPr>
        <w:t>).</w:t>
      </w:r>
    </w:p>
    <w:p w14:paraId="5125BFF2" w14:textId="77777777" w:rsidR="00024E26" w:rsidRPr="005A7C10" w:rsidRDefault="00000000">
      <w:pPr>
        <w:spacing w:before="170"/>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304194C3"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596544" behindDoc="1" locked="0" layoutInCell="1" allowOverlap="1" wp14:anchorId="6146210C" wp14:editId="5A6EB8ED">
                <wp:simplePos x="0" y="0"/>
                <wp:positionH relativeFrom="page">
                  <wp:posOffset>885825</wp:posOffset>
                </wp:positionH>
                <wp:positionV relativeFrom="paragraph">
                  <wp:posOffset>53670</wp:posOffset>
                </wp:positionV>
                <wp:extent cx="6191250" cy="390525"/>
                <wp:effectExtent l="0" t="0" r="0" b="0"/>
                <wp:wrapTopAndBottom/>
                <wp:docPr id="62" name="Graphic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53BA0895" id="Graphic 62" o:spid="_x0000_s1026" style="position:absolute;margin-left:69.75pt;margin-top:4.25pt;width:487.5pt;height:30.75pt;z-index:-1571993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5EF4BB41" w14:textId="77777777" w:rsidR="00024E26" w:rsidRPr="005A7C10" w:rsidRDefault="00024E26">
      <w:pPr>
        <w:pStyle w:val="Textoindependiente"/>
        <w:spacing w:before="111"/>
        <w:rPr>
          <w:i/>
          <w:sz w:val="19"/>
          <w:lang w:val="es-ES"/>
        </w:rPr>
      </w:pPr>
    </w:p>
    <w:p w14:paraId="6DC09237" w14:textId="77777777" w:rsidR="00024E26" w:rsidRPr="005A7C10" w:rsidRDefault="00000000">
      <w:pPr>
        <w:pStyle w:val="Textoindependiente"/>
        <w:spacing w:before="1" w:line="352" w:lineRule="auto"/>
        <w:ind w:left="245"/>
        <w:rPr>
          <w:lang w:val="es-ES"/>
        </w:rPr>
      </w:pPr>
      <w:r w:rsidRPr="005A7C10">
        <w:rPr>
          <w:lang w:val="es-ES"/>
        </w:rPr>
        <w:t xml:space="preserve">Inamovilidad de los jueces, incluidos los traslados (por ejemplo, como parte de la reforma del mapa judicial), </w:t>
      </w:r>
      <w:r w:rsidRPr="005A7C10">
        <w:rPr>
          <w:spacing w:val="-2"/>
          <w:lang w:val="es-ES"/>
        </w:rPr>
        <w:t xml:space="preserve">el despido y el régimen de jubilación de los jueces, los presidentes de los tribunales y los fiscales (incluida </w:t>
      </w:r>
      <w:r w:rsidRPr="005A7C10">
        <w:rPr>
          <w:lang w:val="es-ES"/>
        </w:rPr>
        <w:t>la revisión judicial)</w:t>
      </w:r>
      <w:r w:rsidRPr="005A7C10">
        <w:rPr>
          <w:spacing w:val="-2"/>
          <w:lang w:val="es-ES"/>
        </w:rPr>
        <w:t>.</w:t>
      </w:r>
    </w:p>
    <w:p w14:paraId="0FB62D83" w14:textId="77777777" w:rsidR="00024E26" w:rsidRPr="005A7C10" w:rsidRDefault="00000000">
      <w:pPr>
        <w:spacing w:line="218" w:lineRule="exact"/>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5AFCB2DC"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597056" behindDoc="1" locked="0" layoutInCell="1" allowOverlap="1" wp14:anchorId="64B947B1" wp14:editId="33004B36">
                <wp:simplePos x="0" y="0"/>
                <wp:positionH relativeFrom="page">
                  <wp:posOffset>885825</wp:posOffset>
                </wp:positionH>
                <wp:positionV relativeFrom="paragraph">
                  <wp:posOffset>53338</wp:posOffset>
                </wp:positionV>
                <wp:extent cx="6191250" cy="390525"/>
                <wp:effectExtent l="0" t="0" r="0" b="0"/>
                <wp:wrapTopAndBottom/>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32F66EA3" id="Graphic 63" o:spid="_x0000_s1026" style="position:absolute;margin-left:69.75pt;margin-top:4.2pt;width:487.5pt;height:30.75pt;z-index:-1571942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2B668B93" w14:textId="77777777" w:rsidR="00024E26" w:rsidRPr="005A7C10" w:rsidRDefault="00024E26">
      <w:pPr>
        <w:pStyle w:val="Textoindependiente"/>
        <w:spacing w:before="111"/>
        <w:rPr>
          <w:i/>
          <w:sz w:val="19"/>
          <w:lang w:val="es-ES"/>
        </w:rPr>
      </w:pPr>
    </w:p>
    <w:p w14:paraId="18053E3A" w14:textId="77777777" w:rsidR="00024E26" w:rsidRPr="005A7C10" w:rsidRDefault="00000000">
      <w:pPr>
        <w:pStyle w:val="Textoindependiente"/>
        <w:spacing w:before="1"/>
        <w:ind w:left="245"/>
        <w:rPr>
          <w:lang w:val="es-ES"/>
        </w:rPr>
      </w:pPr>
      <w:r w:rsidRPr="005A7C10">
        <w:rPr>
          <w:spacing w:val="-2"/>
          <w:lang w:val="es-ES"/>
        </w:rPr>
        <w:t>Ascenso de jueces y fiscales (incluida la revisión judicial).</w:t>
      </w:r>
    </w:p>
    <w:p w14:paraId="1C30F6E9" w14:textId="77777777" w:rsidR="00024E26" w:rsidRPr="005A7C10" w:rsidRDefault="00000000">
      <w:pPr>
        <w:spacing w:before="146"/>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1D7D1932"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597568" behindDoc="1" locked="0" layoutInCell="1" allowOverlap="1" wp14:anchorId="2D521E66" wp14:editId="42650958">
                <wp:simplePos x="0" y="0"/>
                <wp:positionH relativeFrom="page">
                  <wp:posOffset>885825</wp:posOffset>
                </wp:positionH>
                <wp:positionV relativeFrom="paragraph">
                  <wp:posOffset>53570</wp:posOffset>
                </wp:positionV>
                <wp:extent cx="6191250" cy="390525"/>
                <wp:effectExtent l="0" t="0" r="0" b="0"/>
                <wp:wrapTopAndBottom/>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2C664D84" id="Graphic 64" o:spid="_x0000_s1026" style="position:absolute;margin-left:69.75pt;margin-top:4.2pt;width:487.5pt;height:30.75pt;z-index:-1571891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633C50C1" w14:textId="77777777" w:rsidR="00024E26" w:rsidRPr="005A7C10" w:rsidRDefault="00024E26">
      <w:pPr>
        <w:pStyle w:val="Textoindependiente"/>
        <w:spacing w:before="111"/>
        <w:rPr>
          <w:i/>
          <w:sz w:val="19"/>
          <w:lang w:val="es-ES"/>
        </w:rPr>
      </w:pPr>
    </w:p>
    <w:p w14:paraId="1BF2E1CB" w14:textId="77777777" w:rsidR="00024E26" w:rsidRPr="005A7C10" w:rsidRDefault="00000000">
      <w:pPr>
        <w:pStyle w:val="Textoindependiente"/>
        <w:ind w:left="245"/>
        <w:rPr>
          <w:lang w:val="es-ES"/>
        </w:rPr>
      </w:pPr>
      <w:r w:rsidRPr="005A7C10">
        <w:rPr>
          <w:spacing w:val="-2"/>
          <w:lang w:val="es-ES"/>
        </w:rPr>
        <w:t>Asignación de casos en los tribunales</w:t>
      </w:r>
    </w:p>
    <w:p w14:paraId="4FCCEEE1" w14:textId="77777777" w:rsidR="00024E26" w:rsidRPr="005A7C10" w:rsidRDefault="00000000">
      <w:pPr>
        <w:spacing w:before="147"/>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3F5082E"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598080" behindDoc="1" locked="0" layoutInCell="1" allowOverlap="1" wp14:anchorId="39244A17" wp14:editId="403B1505">
                <wp:simplePos x="0" y="0"/>
                <wp:positionH relativeFrom="page">
                  <wp:posOffset>885825</wp:posOffset>
                </wp:positionH>
                <wp:positionV relativeFrom="paragraph">
                  <wp:posOffset>53443</wp:posOffset>
                </wp:positionV>
                <wp:extent cx="6191250" cy="390525"/>
                <wp:effectExtent l="0" t="0" r="0" b="0"/>
                <wp:wrapTopAndBottom/>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6E5E605" id="Graphic 65" o:spid="_x0000_s1026" style="position:absolute;margin-left:69.75pt;margin-top:4.2pt;width:487.5pt;height:30.75pt;z-index:-1571840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7BE0EC2D" w14:textId="77777777" w:rsidR="00ED3262" w:rsidRPr="00ED3262" w:rsidRDefault="003043F7" w:rsidP="005F3CD3">
      <w:pPr>
        <w:pStyle w:val="Listaconnmeros"/>
        <w:numPr>
          <w:ilvl w:val="0"/>
          <w:numId w:val="0"/>
        </w:numPr>
        <w:jc w:val="both"/>
        <w:rPr>
          <w:rFonts w:ascii="Arial" w:eastAsia="Arial" w:hAnsi="Arial" w:cs="Arial"/>
          <w:iCs/>
          <w:highlight w:val="yellow"/>
          <w:lang w:val="es-ES"/>
        </w:rPr>
      </w:pPr>
      <w:r w:rsidRPr="003043F7">
        <w:rPr>
          <w:rFonts w:ascii="Arial" w:eastAsia="Arial" w:hAnsi="Arial" w:cs="Arial"/>
          <w:iCs/>
          <w:highlight w:val="yellow"/>
          <w:lang w:val="es-ES"/>
        </w:rPr>
        <w:t>La Ley Orgánica 1/2025 crea nuevas Secciones de Violencia contra la Infancia y la Adolescencia, en respuesta al mandato de la Ley Orgánica 8/2021 de protección integral a la infancia. Estas secciones tienen competencia sobre delitos de violencia contra menores, con especialización de jueces y formación específica en derechos de menores.</w:t>
      </w:r>
      <w:r>
        <w:rPr>
          <w:rFonts w:ascii="Arial" w:eastAsia="Arial" w:hAnsi="Arial" w:cs="Arial"/>
          <w:iCs/>
          <w:highlight w:val="yellow"/>
          <w:lang w:val="es-ES"/>
        </w:rPr>
        <w:t xml:space="preserve"> </w:t>
      </w:r>
      <w:r w:rsidRPr="003043F7">
        <w:rPr>
          <w:rFonts w:ascii="Arial" w:eastAsia="Arial" w:hAnsi="Arial" w:cs="Arial"/>
          <w:iCs/>
          <w:highlight w:val="yellow"/>
          <w:lang w:val="es-ES"/>
        </w:rPr>
        <w:t>A partir de octubre 2025, estos juzgados han ampliado sus competencias para incluir delitos de violencia sexual (aunque inicialmente causó debate sobre su efectiva implementación). Se crearon 50 nuevas plazas judiciales (42% de incremento) y 42 nuevas plazas de fiscales especializados.</w:t>
      </w:r>
    </w:p>
    <w:p w14:paraId="5252E62B" w14:textId="77777777" w:rsidR="00ED3262" w:rsidRPr="00ED3262" w:rsidRDefault="003043F7" w:rsidP="005F3CD3">
      <w:pPr>
        <w:pStyle w:val="Listaconnmeros"/>
        <w:numPr>
          <w:ilvl w:val="0"/>
          <w:numId w:val="0"/>
        </w:numPr>
        <w:jc w:val="both"/>
        <w:rPr>
          <w:rFonts w:ascii="Arial" w:hAnsi="Arial" w:cs="Arial"/>
          <w:iCs/>
          <w:highlight w:val="yellow"/>
          <w:lang w:val="es-ES"/>
        </w:rPr>
      </w:pPr>
      <w:r w:rsidRPr="00ED3262">
        <w:rPr>
          <w:rFonts w:ascii="Arial" w:hAnsi="Arial" w:cs="Arial"/>
          <w:iCs/>
          <w:highlight w:val="yellow"/>
          <w:lang w:val="es-ES"/>
        </w:rPr>
        <w:t>En este contexto, u</w:t>
      </w:r>
      <w:r w:rsidR="00FA0972" w:rsidRPr="00ED3262">
        <w:rPr>
          <w:rFonts w:ascii="Arial" w:hAnsi="Arial" w:cs="Arial"/>
          <w:iCs/>
          <w:highlight w:val="yellow"/>
          <w:lang w:val="es-ES"/>
        </w:rPr>
        <w:t>no de los principales encuentros de la Abogacía en este segundo semestre de 2025 ha sido las Jornadas sobre violencia de género.</w:t>
      </w:r>
      <w:r w:rsidRPr="00ED3262">
        <w:rPr>
          <w:rFonts w:ascii="Arial" w:hAnsi="Arial" w:cs="Arial"/>
          <w:iCs/>
          <w:highlight w:val="yellow"/>
          <w:lang w:val="es-ES"/>
        </w:rPr>
        <w:t xml:space="preserve"> </w:t>
      </w:r>
      <w:r w:rsidR="00FA0972" w:rsidRPr="00ED3262">
        <w:rPr>
          <w:rFonts w:ascii="Arial" w:hAnsi="Arial" w:cs="Arial"/>
          <w:iCs/>
          <w:highlight w:val="yellow"/>
          <w:lang w:val="es-ES"/>
        </w:rPr>
        <w:t xml:space="preserve">Entre ellas destacan </w:t>
      </w:r>
      <w:proofErr w:type="gramStart"/>
      <w:r w:rsidR="00FA0972" w:rsidRPr="00ED3262">
        <w:rPr>
          <w:rFonts w:ascii="Arial" w:hAnsi="Arial" w:cs="Arial"/>
          <w:iCs/>
          <w:highlight w:val="yellow"/>
          <w:lang w:val="es-ES"/>
        </w:rPr>
        <w:t>la conclusiones</w:t>
      </w:r>
      <w:proofErr w:type="gramEnd"/>
      <w:r w:rsidR="00FA0972" w:rsidRPr="00ED3262">
        <w:rPr>
          <w:rFonts w:ascii="Arial" w:hAnsi="Arial" w:cs="Arial"/>
          <w:iCs/>
          <w:highlight w:val="yellow"/>
          <w:lang w:val="es-ES"/>
        </w:rPr>
        <w:t xml:space="preserve"> IV y VI:</w:t>
      </w:r>
    </w:p>
    <w:p w14:paraId="0BD3E99E" w14:textId="77777777" w:rsidR="00ED3262" w:rsidRPr="00ED3262" w:rsidRDefault="00FA0972" w:rsidP="005F3CD3">
      <w:pPr>
        <w:pStyle w:val="Listaconnmeros"/>
        <w:numPr>
          <w:ilvl w:val="0"/>
          <w:numId w:val="0"/>
        </w:numPr>
        <w:jc w:val="both"/>
        <w:rPr>
          <w:rFonts w:ascii="Arial" w:hAnsi="Arial" w:cs="Arial"/>
          <w:iCs/>
          <w:highlight w:val="yellow"/>
          <w:lang w:val="es-ES"/>
        </w:rPr>
      </w:pPr>
      <w:r w:rsidRPr="00ED3262">
        <w:rPr>
          <w:rFonts w:ascii="Arial" w:hAnsi="Arial" w:cs="Arial"/>
          <w:iCs/>
          <w:highlight w:val="yellow"/>
          <w:lang w:val="es-ES"/>
        </w:rPr>
        <w:t>Valoramos de manera positiva la especialización de los órganos judiciales, y en particular, de las secciones dedicadas a la violencia sobre la mujer. Sin embargo, esa especialización no puede, en ningún caso, implicar una merma de los derechos y garantías de las víctimas. La comarcalización de los órganos judiciales está generando un efecto contrario al deseado: aleja la justicia de las víctimas, perjudica la inmediación del órgano judicial e incrementa su vulnerabilidad y provoca una revictimización añadida derivada de los desplazamientos y de la carga emocional y económica que estos conllevan. Resulta imprescindible la adopción real y efectiva de medios personales y materiales que compensen los perjuicios ocasionados por la comarcalización, garantizando así un acceso a la justicia verdaderamente cercano, digno y respetuoso con los derechos de las víctimas</w:t>
      </w:r>
    </w:p>
    <w:p w14:paraId="691EF140" w14:textId="42888E9D" w:rsidR="00FA0972" w:rsidRPr="00ED3262" w:rsidRDefault="00FA0972" w:rsidP="005F3CD3">
      <w:pPr>
        <w:pStyle w:val="Listaconnmeros"/>
        <w:numPr>
          <w:ilvl w:val="0"/>
          <w:numId w:val="0"/>
        </w:numPr>
        <w:jc w:val="both"/>
        <w:rPr>
          <w:rFonts w:ascii="Arial" w:hAnsi="Arial" w:cs="Arial"/>
          <w:iCs/>
          <w:highlight w:val="yellow"/>
          <w:lang w:val="es-ES"/>
        </w:rPr>
      </w:pPr>
      <w:r w:rsidRPr="00ED3262">
        <w:rPr>
          <w:rFonts w:ascii="Arial" w:hAnsi="Arial" w:cs="Arial"/>
          <w:iCs/>
          <w:highlight w:val="yellow"/>
          <w:lang w:val="es-ES"/>
        </w:rPr>
        <w:lastRenderedPageBreak/>
        <w:t>Reiteramos nuestra valoración positiva respecto a la especialización de los órganos judiciales introducida por el Real Decreto 1/2025 de Eficiencia, en tanto constituye un paso necesario hacia una justicia más técnica y sensible en materias de especial trascendencia social. Sin embargo, no podemos dejar de advertir que la atribución a las secciones de violencia de todos los delitos contra la libertad sexual, amenaza con generar una saturación estructural desde su inicio. Esta sobrecarga comprometerá gravemente la agilidad y la eficacia de la respuesta judicial, desvirtuando los objetivos de eficiencia y proximidad que inspiran la reforma. Por ello, reclamamos medidas organizativas y de refuerzo personal y material suficientes para garantizar que la especialización no se convierta en un obstáculo para el acceso efectivo a la justicia y el derecho a un proceso en un plazo razonable.</w:t>
      </w:r>
    </w:p>
    <w:p w14:paraId="75BECF2C" w14:textId="77777777" w:rsidR="00FA0972" w:rsidRPr="00ED3262" w:rsidRDefault="00FA0972" w:rsidP="005F3CD3">
      <w:pPr>
        <w:pStyle w:val="Textoindependiente"/>
        <w:spacing w:before="111"/>
        <w:jc w:val="both"/>
        <w:rPr>
          <w:iCs/>
          <w:sz w:val="22"/>
          <w:szCs w:val="22"/>
          <w:lang w:val="es-ES"/>
        </w:rPr>
      </w:pPr>
      <w:hyperlink r:id="rId12" w:history="1">
        <w:r w:rsidRPr="00ED3262">
          <w:rPr>
            <w:rStyle w:val="Hipervnculo"/>
            <w:iCs/>
            <w:sz w:val="22"/>
            <w:szCs w:val="22"/>
            <w:lang w:val="es-ES"/>
          </w:rPr>
          <w:t>La Abogacía reclama mayor especialización de los operadores jurídicos y critica la comarcalización judicial en la lucha contra la violencia de género – Abogacía Española</w:t>
        </w:r>
      </w:hyperlink>
    </w:p>
    <w:p w14:paraId="022237AE" w14:textId="77777777" w:rsidR="00FA0972" w:rsidRPr="00FA0972" w:rsidRDefault="00FA0972" w:rsidP="00FA0972">
      <w:pPr>
        <w:pStyle w:val="Textoindependiente"/>
        <w:spacing w:before="111"/>
        <w:rPr>
          <w:iCs/>
          <w:sz w:val="22"/>
          <w:szCs w:val="22"/>
          <w:lang w:val="es-ES"/>
        </w:rPr>
      </w:pPr>
    </w:p>
    <w:p w14:paraId="6A478967" w14:textId="77777777" w:rsidR="00024E26" w:rsidRPr="005A7C10" w:rsidRDefault="00024E26">
      <w:pPr>
        <w:pStyle w:val="Textoindependiente"/>
        <w:spacing w:before="111"/>
        <w:rPr>
          <w:i/>
          <w:sz w:val="19"/>
          <w:lang w:val="es-ES"/>
        </w:rPr>
      </w:pPr>
    </w:p>
    <w:p w14:paraId="556F1334" w14:textId="77777777" w:rsidR="00024E26" w:rsidRPr="005A7C10" w:rsidRDefault="00000000">
      <w:pPr>
        <w:pStyle w:val="Textoindependiente"/>
        <w:spacing w:before="1" w:line="352" w:lineRule="auto"/>
        <w:ind w:left="245" w:right="50"/>
        <w:jc w:val="both"/>
        <w:rPr>
          <w:lang w:val="es-ES"/>
        </w:rPr>
      </w:pPr>
      <w:r w:rsidRPr="005A7C10">
        <w:rPr>
          <w:lang w:val="es-ES"/>
        </w:rPr>
        <w:t xml:space="preserve">Independencia (incluida la composición, el nombramiento y la destitución de sus miembros) </w:t>
      </w:r>
      <w:r w:rsidRPr="005A7C10">
        <w:rPr>
          <w:spacing w:val="-2"/>
          <w:lang w:val="es-ES"/>
        </w:rPr>
        <w:t>y competencias del órgano encargado de salvaguardar la independencia del poder judicial (</w:t>
      </w:r>
      <w:r w:rsidRPr="005A7C10">
        <w:rPr>
          <w:lang w:val="es-ES"/>
        </w:rPr>
        <w:t>por ejemplo, el Consejo del Poder Judicial).</w:t>
      </w:r>
    </w:p>
    <w:p w14:paraId="2140831D" w14:textId="77777777" w:rsidR="00024E26" w:rsidRPr="005A7C10" w:rsidRDefault="00000000">
      <w:pPr>
        <w:spacing w:line="218" w:lineRule="exact"/>
        <w:ind w:left="395"/>
        <w:rPr>
          <w:i/>
          <w:color w:val="666666"/>
          <w:spacing w:val="-2"/>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463EF7F4" w14:textId="77777777" w:rsidR="005A7C10" w:rsidRPr="005A7C10" w:rsidRDefault="005A7C10">
      <w:pPr>
        <w:spacing w:line="218" w:lineRule="exact"/>
        <w:ind w:left="395"/>
        <w:rPr>
          <w:i/>
          <w:sz w:val="19"/>
          <w:lang w:val="es-ES"/>
        </w:rPr>
      </w:pPr>
    </w:p>
    <w:p w14:paraId="42F2C57A"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598592" behindDoc="1" locked="0" layoutInCell="1" allowOverlap="1" wp14:anchorId="35A2314A" wp14:editId="2A49C0DF">
                <wp:simplePos x="0" y="0"/>
                <wp:positionH relativeFrom="page">
                  <wp:posOffset>885825</wp:posOffset>
                </wp:positionH>
                <wp:positionV relativeFrom="paragraph">
                  <wp:posOffset>53338</wp:posOffset>
                </wp:positionV>
                <wp:extent cx="6191250" cy="390525"/>
                <wp:effectExtent l="0" t="0" r="0" b="0"/>
                <wp:wrapTopAndBottom/>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2DB38328" id="Graphic 66" o:spid="_x0000_s1026" style="position:absolute;margin-left:69.75pt;margin-top:4.2pt;width:487.5pt;height:30.75pt;z-index:-1571788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768EC045" w14:textId="77777777" w:rsidR="00024E26" w:rsidRPr="005A7C10" w:rsidRDefault="00024E26">
      <w:pPr>
        <w:pStyle w:val="Textoindependiente"/>
        <w:spacing w:before="111"/>
        <w:rPr>
          <w:i/>
          <w:sz w:val="19"/>
          <w:lang w:val="es-ES"/>
        </w:rPr>
      </w:pPr>
    </w:p>
    <w:p w14:paraId="5D7306EF" w14:textId="77777777" w:rsidR="00024E26" w:rsidRPr="005A7C10" w:rsidRDefault="00000000">
      <w:pPr>
        <w:pStyle w:val="Textoindependiente"/>
        <w:spacing w:before="1" w:line="352" w:lineRule="auto"/>
        <w:ind w:left="245" w:right="50"/>
        <w:jc w:val="both"/>
        <w:rPr>
          <w:lang w:val="es-ES"/>
        </w:rPr>
      </w:pPr>
      <w:r w:rsidRPr="005A7C10">
        <w:rPr>
          <w:lang w:val="es-ES"/>
        </w:rPr>
        <w:t>Responsabilidad de los jueces y fiscales, incluidos el régimen y los órganos disciplinarios y las normas éticas, la inmunidad judicial y la responsabilidad penal/civil (cuando proceda) de los jueces (incluida la revisión judicial).</w:t>
      </w:r>
    </w:p>
    <w:p w14:paraId="20DDE002" w14:textId="77777777" w:rsidR="00024E26" w:rsidRDefault="00000000">
      <w:pPr>
        <w:spacing w:line="218" w:lineRule="exact"/>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7AE776C1" w14:textId="77777777" w:rsidR="00024E26" w:rsidRDefault="00024E26">
      <w:pPr>
        <w:spacing w:line="218" w:lineRule="exact"/>
        <w:rPr>
          <w:i/>
          <w:sz w:val="19"/>
        </w:rPr>
        <w:sectPr w:rsidR="00024E26">
          <w:pgSz w:w="11910" w:h="16840"/>
          <w:pgMar w:top="700" w:right="708" w:bottom="480" w:left="850" w:header="0" w:footer="293" w:gutter="0"/>
          <w:cols w:space="720"/>
        </w:sectPr>
      </w:pPr>
    </w:p>
    <w:p w14:paraId="1CC3B5A3" w14:textId="77777777" w:rsidR="00024E26" w:rsidRDefault="00000000">
      <w:pPr>
        <w:ind w:left="545" w:right="-15"/>
        <w:rPr>
          <w:sz w:val="20"/>
        </w:rPr>
      </w:pPr>
      <w:r>
        <w:rPr>
          <w:noProof/>
          <w:sz w:val="20"/>
        </w:rPr>
        <w:lastRenderedPageBreak/>
        <mc:AlternateContent>
          <mc:Choice Requires="wpg">
            <w:drawing>
              <wp:inline distT="0" distB="0" distL="0" distR="0" wp14:anchorId="6A78EE72" wp14:editId="3C607789">
                <wp:extent cx="6191250" cy="390525"/>
                <wp:effectExtent l="0" t="0" r="0" b="0"/>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1250" cy="390525"/>
                          <a:chOff x="0" y="0"/>
                          <a:chExt cx="6191250" cy="390525"/>
                        </a:xfrm>
                      </wpg:grpSpPr>
                      <wps:wsp>
                        <wps:cNvPr id="68" name="Graphic 68"/>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wpg:wgp>
                  </a:graphicData>
                </a:graphic>
              </wp:inline>
            </w:drawing>
          </mc:Choice>
          <mc:Fallback>
            <w:pict>
              <v:group w14:anchorId="555685C1" id="Group 67" o:spid="_x0000_s1026" style="width:487.5pt;height:30.75pt;mso-position-horizontal-relative:char;mso-position-vertical-relative:line" coordsize="61912,3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doKmQIAADAHAAAOAAAAZHJzL2Uyb0RvYy54bWykVW1P2zAQ/j5p/8Hy95G0CAYRKWIwqkkI&#10;kGDaZ9dxXjTH9s5uU/79zk6cZiCYCoqUnO3H57vnnnPOzretJBsBttEqp7ODlBKhuC4aVeX05+P1&#10;lxNKrGOqYFIrkdMnYen54vOns85kYq5rLQsBBJ0om3Ump7VzJksSy2vRMnugjVC4WGpomcMhVEkB&#10;rEPvrUzmaXqcdBoKA5oLa3H2ql+ki+C/LAV3d2VphSMypxibC28I75V/J4szllXATN3wIQz2jiha&#10;1ig8dHR1xRwja2heuGobDtrq0h1w3Sa6LBsuQg6YzSx9ls0S9NqEXKqsq8xIE1L7jKd3u+W3myWY&#10;B3MPffRo3mj+2yIvSWeqbLrux9UOvC2h9ZswCbINjD6NjIqtIxwnj2ens/kREs9x7fA0PZof9ZTz&#10;GuvyYhuvv7+9MWFZf2wIbgymM6geuyPIfoygh5oZEXi3noB7IE2BuaCUFWtRxMtBLziDPPnDEeU5&#10;HEZ2oPMDDI2JsoyvrVsKHbhmmxvres0W0WJ1tPhWRRNQ+V7zMmjeUYKaB0pQ86u+AIY5v88X0Juk&#10;mxSrHmvll1u9EY86AJ2v2FjTWG6MdYeR6l/syewr1pxMsBERv2bwukOeDjJBxxEUvy/BhyezNA2N&#10;/Co8+PMh7IPdK4i9wG8Hi83yX7J6zK6fXs18Wqs94c+j5FJbgdLDs7xgRiOICCenMrVaNsV1I6VX&#10;jYVqdSmBbBjq8duFf7wEccsEhv1ss75vvLXSxRO2XYeNllP7Z81AUCJ/KGxsf4tHA6KxigY4eanD&#10;XR8EC9Y9bn8xMMSgmVOHF9Otjv3NsthPPqkR63cqfbF2umx8s4XY+oiGAd41wQrXckhl+IX4e386&#10;Dqjdj27xFwAA//8DAFBLAwQUAAYACAAAACEAGIn9GtsAAAAEAQAADwAAAGRycy9kb3ducmV2Lnht&#10;bEyPQUvDQBCF74L/YRnBm91ESbUxm1KKeiqCrSC9TZNpEpqdDdltkv57Ry96efB4w3vfZMvJtmqg&#10;3jeODcSzCBRx4cqGKwOfu9e7J1A+IJfYOiYDF/KwzK+vMkxLN/IHDdtQKSlhn6KBOoQu1doXNVn0&#10;M9cRS3Z0vcUgtq902eMo5bbV91E01xYbloUaO1rXVJy2Z2vgbcRx9RC/DJvTcX3Z75L3r01Mxtze&#10;TKtnUIGm8HcMP/iCDrkwHdyZS69aA/JI+FXJFo+J2IOBeZyAzjP9Hz7/BgAA//8DAFBLAQItABQA&#10;BgAIAAAAIQC2gziS/gAAAOEBAAATAAAAAAAAAAAAAAAAAAAAAABbQ29udGVudF9UeXBlc10ueG1s&#10;UEsBAi0AFAAGAAgAAAAhADj9If/WAAAAlAEAAAsAAAAAAAAAAAAAAAAALwEAAF9yZWxzLy5yZWxz&#10;UEsBAi0AFAAGAAgAAAAhAJFh2gqZAgAAMAcAAA4AAAAAAAAAAAAAAAAALgIAAGRycy9lMm9Eb2Mu&#10;eG1sUEsBAi0AFAAGAAgAAAAhABiJ/RrbAAAABAEAAA8AAAAAAAAAAAAAAAAA8wQAAGRycy9kb3du&#10;cmV2LnhtbFBLBQYAAAAABAAEAPMAAAD7BQAAAAA=&#10;">
                <v:shape id="Graphic 68" o:spid="_x0000_s1027" style="position:absolute;width:61912;height:3905;visibility:visible;mso-wrap-style:square;v-text-anchor:top" coordsize="6191250,39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ai/wQAAANsAAAAPAAAAZHJzL2Rvd25yZXYueG1sRE9da8Iw&#10;FH0f7D+EO/BtTRWU0RllDDZEVGbd9nxp7tKy5qYkqa3/3jwIPh7O93I92lacyYfGsYJploMgrpxu&#10;2Cj4Pn08v4AIEVlj65gUXCjAevX4sMRCu4GPdC6jESmEQ4EK6hi7QspQ1WQxZK4jTtyf8xZjgt5I&#10;7XFI4baVszxfSIsNp4YaO3qvqfove6tg/Jz6vtz/9MY38243/B6+zLZXavI0vr2CiDTGu/jm3mgF&#10;izQ2fUk/QK6uAAAA//8DAFBLAQItABQABgAIAAAAIQDb4fbL7gAAAIUBAAATAAAAAAAAAAAAAAAA&#10;AAAAAABbQ29udGVudF9UeXBlc10ueG1sUEsBAi0AFAAGAAgAAAAhAFr0LFu/AAAAFQEAAAsAAAAA&#10;AAAAAAAAAAAAHwEAAF9yZWxzLy5yZWxzUEsBAi0AFAAGAAgAAAAhAMfdqL/BAAAA2wAAAA8AAAAA&#10;AAAAAAAAAAAABwIAAGRycy9kb3ducmV2LnhtbFBLBQYAAAAAAwADALcAAAD1AgAAAAA=&#10;" path="m6191250,r-9525,l6181725,9525r,371475l9525,381000r,-371475l6181725,9525r,-9525l,,,390525r6191250,l6191250,xe" fillcolor="#bababa" stroked="f">
                  <v:path arrowok="t"/>
                </v:shape>
                <w10:anchorlock/>
              </v:group>
            </w:pict>
          </mc:Fallback>
        </mc:AlternateContent>
      </w:r>
    </w:p>
    <w:p w14:paraId="1B1BFADE" w14:textId="77777777" w:rsidR="00024E26" w:rsidRDefault="00024E26">
      <w:pPr>
        <w:pStyle w:val="Textoindependiente"/>
        <w:spacing w:before="147"/>
        <w:rPr>
          <w:i/>
        </w:rPr>
      </w:pPr>
    </w:p>
    <w:p w14:paraId="1B73E986" w14:textId="77777777" w:rsidR="00024E26" w:rsidRPr="005A7C10" w:rsidRDefault="00000000">
      <w:pPr>
        <w:pStyle w:val="Textoindependiente"/>
        <w:ind w:left="245"/>
        <w:rPr>
          <w:lang w:val="es-ES"/>
        </w:rPr>
      </w:pPr>
      <w:r w:rsidRPr="005A7C10">
        <w:rPr>
          <w:spacing w:val="-4"/>
          <w:lang w:val="es-ES"/>
        </w:rPr>
        <w:t>Independencia/autonomía del ministerio fiscal.</w:t>
      </w:r>
    </w:p>
    <w:p w14:paraId="48D2691C" w14:textId="77777777" w:rsidR="00024E26" w:rsidRPr="005A7C10" w:rsidRDefault="00000000">
      <w:pPr>
        <w:spacing w:before="146"/>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4B173030"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599616" behindDoc="1" locked="0" layoutInCell="1" allowOverlap="1" wp14:anchorId="5BD6A0BA" wp14:editId="53E0F73B">
                <wp:simplePos x="0" y="0"/>
                <wp:positionH relativeFrom="page">
                  <wp:posOffset>885825</wp:posOffset>
                </wp:positionH>
                <wp:positionV relativeFrom="paragraph">
                  <wp:posOffset>53829</wp:posOffset>
                </wp:positionV>
                <wp:extent cx="6191250" cy="390525"/>
                <wp:effectExtent l="0" t="0" r="0" b="0"/>
                <wp:wrapTopAndBottom/>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3F010912" id="Graphic 69" o:spid="_x0000_s1026" style="position:absolute;margin-left:69.75pt;margin-top:4.25pt;width:487.5pt;height:30.75pt;z-index:-1571686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02A3594F" w14:textId="77777777" w:rsidR="005A7C10" w:rsidRPr="005A7C10" w:rsidRDefault="005A7C10" w:rsidP="005A7C10">
      <w:pPr>
        <w:pStyle w:val="Prrafodelista"/>
        <w:widowControl/>
        <w:numPr>
          <w:ilvl w:val="0"/>
          <w:numId w:val="9"/>
        </w:numPr>
        <w:autoSpaceDE/>
        <w:autoSpaceDN/>
        <w:spacing w:after="160" w:line="259" w:lineRule="auto"/>
        <w:contextualSpacing/>
        <w:jc w:val="both"/>
        <w:rPr>
          <w:highlight w:val="yellow"/>
          <w:lang w:val="es-ES"/>
        </w:rPr>
      </w:pPr>
      <w:r w:rsidRPr="005A7C10">
        <w:rPr>
          <w:i/>
          <w:iCs/>
          <w:highlight w:val="yellow"/>
          <w:lang w:val="es-ES"/>
        </w:rPr>
        <w:t>La Abogacía pide respeto a las decisiones judiciale</w:t>
      </w:r>
      <w:r w:rsidRPr="005A7C10">
        <w:rPr>
          <w:highlight w:val="yellow"/>
          <w:lang w:val="es-ES"/>
        </w:rPr>
        <w:t xml:space="preserve">s </w:t>
      </w:r>
      <w:hyperlink r:id="rId13" w:history="1">
        <w:r w:rsidRPr="005A7C10">
          <w:rPr>
            <w:rStyle w:val="Hipervnculo"/>
            <w:highlight w:val="yellow"/>
            <w:lang w:val="es-ES"/>
          </w:rPr>
          <w:t>https://www.abogacia.es/actualidad/noticias/la-abogacia-pide-respeto-a-las-decisiones-judiciales-y-urge-a-confeccionar-un-nuevo-protocolo-de-conformidad-con-la-fiscalia/</w:t>
        </w:r>
      </w:hyperlink>
    </w:p>
    <w:p w14:paraId="4FA5EF35" w14:textId="77777777" w:rsidR="005A7C10" w:rsidRPr="005A7C10" w:rsidRDefault="005A7C10" w:rsidP="005A7C10">
      <w:pPr>
        <w:pStyle w:val="Prrafodelista"/>
        <w:widowControl/>
        <w:numPr>
          <w:ilvl w:val="0"/>
          <w:numId w:val="9"/>
        </w:numPr>
        <w:autoSpaceDE/>
        <w:autoSpaceDN/>
        <w:spacing w:after="160" w:line="259" w:lineRule="auto"/>
        <w:contextualSpacing/>
        <w:jc w:val="both"/>
        <w:rPr>
          <w:highlight w:val="yellow"/>
          <w:lang w:val="es-ES"/>
        </w:rPr>
      </w:pPr>
      <w:r w:rsidRPr="005A7C10">
        <w:rPr>
          <w:highlight w:val="yellow"/>
          <w:lang w:val="es-ES"/>
        </w:rPr>
        <w:t xml:space="preserve">El Supremo refuerza la importancia de la confidencialidad en la aplicación del protocolo de conformidad firmado con la Abogacía Española </w:t>
      </w:r>
      <w:hyperlink r:id="rId14" w:history="1">
        <w:r w:rsidRPr="005A7C10">
          <w:rPr>
            <w:rStyle w:val="Hipervnculo"/>
            <w:highlight w:val="yellow"/>
            <w:lang w:val="es-ES"/>
          </w:rPr>
          <w:t>https://www.abogacia.es/actualidad/noticias/el-supremo-refuerza-la-importancia-de-la-confidencialidad-en-la-aplicacion-del-protocolo-de-conformidad-firmado-con-la-abogacia-espanola/</w:t>
        </w:r>
      </w:hyperlink>
      <w:r w:rsidRPr="005A7C10">
        <w:rPr>
          <w:highlight w:val="yellow"/>
          <w:lang w:val="es-ES"/>
        </w:rPr>
        <w:t xml:space="preserve"> Tras  la sentencia condenatoria al Fiscal General del Estado hecha pública hoy, destaca la importancia clave del protocolo firmado por la propia Fiscalía con el Consejo General de la Abogacía Española en el año 2009.</w:t>
      </w:r>
    </w:p>
    <w:p w14:paraId="53A0732F" w14:textId="77777777" w:rsidR="00024E26" w:rsidRPr="005A7C10" w:rsidRDefault="00024E26">
      <w:pPr>
        <w:pStyle w:val="Textoindependiente"/>
        <w:spacing w:before="111"/>
        <w:rPr>
          <w:i/>
          <w:sz w:val="19"/>
          <w:lang w:val="es-ES"/>
        </w:rPr>
      </w:pPr>
    </w:p>
    <w:p w14:paraId="4D6FB26E" w14:textId="77777777" w:rsidR="00024E26" w:rsidRPr="005A7C10" w:rsidRDefault="00000000">
      <w:pPr>
        <w:pStyle w:val="Textoindependiente"/>
        <w:spacing w:before="1"/>
        <w:ind w:left="245"/>
        <w:rPr>
          <w:lang w:val="es-ES"/>
        </w:rPr>
      </w:pPr>
      <w:r w:rsidRPr="005A7C10">
        <w:rPr>
          <w:spacing w:val="-2"/>
          <w:lang w:val="es-ES"/>
        </w:rPr>
        <w:t>Independencia del Colegio de Abogados (cámara/asociación de abogados) y de los abogados</w:t>
      </w:r>
    </w:p>
    <w:p w14:paraId="511D166D" w14:textId="77777777" w:rsidR="00024E26" w:rsidRDefault="00000000">
      <w:pPr>
        <w:spacing w:before="146"/>
        <w:ind w:left="395"/>
        <w:rPr>
          <w:i/>
          <w:color w:val="666666"/>
          <w:spacing w:val="-2"/>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3C0A5836"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rPr>
      </w:pPr>
      <w:r w:rsidRPr="005A7C10">
        <w:rPr>
          <w:i/>
          <w:iCs/>
          <w:highlight w:val="yellow"/>
          <w:lang w:val="es-ES"/>
        </w:rPr>
        <w:t xml:space="preserve">El CGAE se dota de un Reglamento de amparo colegial para proteger mejor a </w:t>
      </w:r>
      <w:proofErr w:type="gramStart"/>
      <w:r w:rsidRPr="005A7C10">
        <w:rPr>
          <w:i/>
          <w:iCs/>
          <w:highlight w:val="yellow"/>
          <w:lang w:val="es-ES"/>
        </w:rPr>
        <w:t>los abogados y abogadas</w:t>
      </w:r>
      <w:proofErr w:type="gramEnd"/>
      <w:r w:rsidRPr="005A7C10">
        <w:rPr>
          <w:i/>
          <w:iCs/>
          <w:highlight w:val="yellow"/>
          <w:lang w:val="es-ES"/>
        </w:rPr>
        <w:t>.</w:t>
      </w:r>
      <w:r w:rsidRPr="005A7C10">
        <w:rPr>
          <w:highlight w:val="yellow"/>
          <w:lang w:val="es-ES"/>
        </w:rPr>
        <w:t xml:space="preserve"> </w:t>
      </w:r>
      <w:hyperlink r:id="rId15" w:history="1">
        <w:r w:rsidRPr="005A7C10">
          <w:rPr>
            <w:rStyle w:val="Hipervnculo"/>
            <w:highlight w:val="yellow"/>
          </w:rPr>
          <w:t>https://www.abogacia.es/actualidad/noticias/la-abogacia-se-dota-de-un-reglamento-de-amparo-colegial-para-proteger-mejor-a-abogados-y-abogadas/</w:t>
        </w:r>
      </w:hyperlink>
      <w:r w:rsidRPr="005A7C10">
        <w:rPr>
          <w:highlight w:val="yellow"/>
        </w:rPr>
        <w:t xml:space="preserve">. Protege </w:t>
      </w:r>
      <w:proofErr w:type="spellStart"/>
      <w:r w:rsidRPr="005A7C10">
        <w:rPr>
          <w:highlight w:val="yellow"/>
        </w:rPr>
        <w:t>su</w:t>
      </w:r>
      <w:proofErr w:type="spellEnd"/>
      <w:r w:rsidRPr="005A7C10">
        <w:rPr>
          <w:highlight w:val="yellow"/>
        </w:rPr>
        <w:t xml:space="preserve"> </w:t>
      </w:r>
      <w:proofErr w:type="spellStart"/>
      <w:r w:rsidRPr="005A7C10">
        <w:rPr>
          <w:highlight w:val="yellow"/>
        </w:rPr>
        <w:t>independencia</w:t>
      </w:r>
      <w:proofErr w:type="spellEnd"/>
      <w:r w:rsidRPr="005A7C10">
        <w:rPr>
          <w:highlight w:val="yellow"/>
        </w:rPr>
        <w:t xml:space="preserve"> de </w:t>
      </w:r>
      <w:proofErr w:type="spellStart"/>
      <w:r w:rsidRPr="005A7C10">
        <w:rPr>
          <w:highlight w:val="yellow"/>
        </w:rPr>
        <w:t>injerencias</w:t>
      </w:r>
      <w:proofErr w:type="spellEnd"/>
      <w:r w:rsidRPr="005A7C10">
        <w:rPr>
          <w:highlight w:val="yellow"/>
        </w:rPr>
        <w:t>.</w:t>
      </w:r>
    </w:p>
    <w:p w14:paraId="73E6D7EC" w14:textId="77777777" w:rsidR="005A7C10" w:rsidRPr="005A7C10" w:rsidRDefault="005A7C10" w:rsidP="005A7C10">
      <w:pPr>
        <w:jc w:val="both"/>
        <w:rPr>
          <w:highlight w:val="yellow"/>
        </w:rPr>
      </w:pPr>
      <w:r w:rsidRPr="005A7C10">
        <w:rPr>
          <w:highlight w:val="yellow"/>
        </w:rPr>
        <w:t xml:space="preserve">*Pensiones y </w:t>
      </w:r>
      <w:proofErr w:type="spellStart"/>
      <w:r w:rsidRPr="005A7C10">
        <w:rPr>
          <w:highlight w:val="yellow"/>
        </w:rPr>
        <w:t>mutualistas</w:t>
      </w:r>
      <w:proofErr w:type="spellEnd"/>
      <w:r w:rsidRPr="005A7C10">
        <w:rPr>
          <w:highlight w:val="yellow"/>
        </w:rPr>
        <w:t>:</w:t>
      </w:r>
    </w:p>
    <w:p w14:paraId="79F65D6F"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t>La Abogacía emplaza al Senado a agilizar la reforma de la pasarela para los mutualistas cuando se alcance el consenso</w:t>
      </w:r>
      <w:r w:rsidRPr="005A7C10">
        <w:rPr>
          <w:highlight w:val="yellow"/>
          <w:lang w:val="es-ES"/>
        </w:rPr>
        <w:t xml:space="preserve">. </w:t>
      </w:r>
      <w:hyperlink r:id="rId16" w:history="1">
        <w:r w:rsidRPr="005A7C10">
          <w:rPr>
            <w:rStyle w:val="Hipervnculo"/>
            <w:highlight w:val="yellow"/>
            <w:lang w:val="es-ES"/>
          </w:rPr>
          <w:t>https://www.abogacia.es/actualidad/noticias/la-abogacia-emplaza-al-senado-a-agilizar-la-reforma-de-la-pasarela-para-los-mutualistas-cuando-se-alcance-el-consenso/</w:t>
        </w:r>
      </w:hyperlink>
      <w:r w:rsidRPr="005A7C10">
        <w:rPr>
          <w:highlight w:val="yellow"/>
          <w:lang w:val="es-ES"/>
        </w:rPr>
        <w:t xml:space="preserve"> El CGAE ha instado a los legisladores a dar una respuesta constitucional rápida y profunda para resolver el problema de las mutualidades y las pensiones insuficientes que enfrentan miles de abogados, afectando a su independencia económica.</w:t>
      </w:r>
    </w:p>
    <w:p w14:paraId="7B6B7052"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t>Abogacía y organizaciones de mutualistas afectados reclaman a los partidos un último esfuerzo para acordar la Pasarela al RETA</w:t>
      </w:r>
      <w:r w:rsidRPr="005A7C10">
        <w:rPr>
          <w:highlight w:val="yellow"/>
          <w:lang w:val="es-ES"/>
        </w:rPr>
        <w:t xml:space="preserve"> </w:t>
      </w:r>
      <w:hyperlink r:id="rId17" w:history="1">
        <w:r w:rsidRPr="005A7C10">
          <w:rPr>
            <w:rStyle w:val="Hipervnculo"/>
            <w:highlight w:val="yellow"/>
            <w:lang w:val="es-ES"/>
          </w:rPr>
          <w:t>https://www.abogacia.es/actualidad/noticias/abogacia-y-organizaciones-de-mutualistas-afectados-reclaman-a-los-partidos-un-ultimo-esfuerzo-para-acordar-la-pasarela-al-reta/</w:t>
        </w:r>
      </w:hyperlink>
    </w:p>
    <w:p w14:paraId="63C0E383"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t xml:space="preserve">«La reforma que habilitará la Pasarela al RETA no puede esperar más. Urge a la solución al problema de los mutualistas» </w:t>
      </w:r>
      <w:hyperlink r:id="rId18" w:history="1">
        <w:r w:rsidRPr="005A7C10">
          <w:rPr>
            <w:rStyle w:val="Hipervnculo"/>
            <w:highlight w:val="yellow"/>
            <w:lang w:val="es-ES"/>
          </w:rPr>
          <w:t>https://www.abogacia.es/actualidad/noticias/la-reforma-que-habilitara-la-pasarela-al-reta-no-puede-esperar-mas-urge-a-la-solucion-al-problema-de-los-mutualistas/</w:t>
        </w:r>
      </w:hyperlink>
    </w:p>
    <w:p w14:paraId="79E4FDD1"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rPr>
      </w:pPr>
      <w:r w:rsidRPr="005A7C10">
        <w:rPr>
          <w:i/>
          <w:iCs/>
          <w:highlight w:val="yellow"/>
          <w:lang w:val="es-ES"/>
        </w:rPr>
        <w:t>El Parlamento Europeo exhorta al Gobierno español a que encuentre soluciones para los mutualistas que se ajusten a las leyes de la UE.</w:t>
      </w:r>
      <w:r w:rsidRPr="005A7C10">
        <w:rPr>
          <w:highlight w:val="yellow"/>
          <w:lang w:val="es-ES"/>
        </w:rPr>
        <w:t xml:space="preserve"> </w:t>
      </w:r>
      <w:hyperlink r:id="rId19" w:history="1">
        <w:r w:rsidRPr="005A7C10">
          <w:rPr>
            <w:rStyle w:val="Hipervnculo"/>
            <w:highlight w:val="yellow"/>
          </w:rPr>
          <w:t>https://www.abogacia.es/actualidad/noticias/el-parlamento-europeo-exhorta-al-gobierno-espanol-a-que-encuentre-soluciones-para-los-mutualistas-que-se-ajusten-a-las-leyes-de-la-ue/</w:t>
        </w:r>
      </w:hyperlink>
    </w:p>
    <w:p w14:paraId="106D8708"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t xml:space="preserve">Salvador González subraya la importancia de defender a los profesionales de la abogacía. </w:t>
      </w:r>
      <w:hyperlink r:id="rId20" w:history="1">
        <w:r w:rsidRPr="005A7C10">
          <w:rPr>
            <w:rStyle w:val="Hipervnculo"/>
            <w:highlight w:val="yellow"/>
          </w:rPr>
          <w:t>https://www.abogacia.es/actualidad/noticias/salvador-gonzalez-subraya-la-importancia-de-defender-a-los-profesionales-de-la-abogacia/</w:t>
        </w:r>
      </w:hyperlink>
      <w:r w:rsidRPr="005A7C10">
        <w:rPr>
          <w:highlight w:val="yellow"/>
        </w:rPr>
        <w:t xml:space="preserve">. </w:t>
      </w:r>
      <w:r w:rsidRPr="005A7C10">
        <w:rPr>
          <w:highlight w:val="yellow"/>
          <w:lang w:val="es-ES"/>
        </w:rPr>
        <w:t>Tras unos premios de DDHH volcados en la defensa de quienes defienden, se resalta la necesidad de proteger la función del abogado.</w:t>
      </w:r>
    </w:p>
    <w:p w14:paraId="7B15ACD9"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t>La Abogacía Española asiste al juicio contra el decano del Colegio de Abogados de Estambul y su Junta</w:t>
      </w:r>
      <w:r w:rsidRPr="005A7C10">
        <w:rPr>
          <w:highlight w:val="yellow"/>
          <w:lang w:val="es-ES"/>
        </w:rPr>
        <w:t xml:space="preserve">. </w:t>
      </w:r>
      <w:hyperlink r:id="rId21" w:history="1">
        <w:r w:rsidRPr="005A7C10">
          <w:rPr>
            <w:rStyle w:val="Hipervnculo"/>
            <w:highlight w:val="yellow"/>
          </w:rPr>
          <w:t>https://www.abogacia.es/actualidad/noticias/la-abogacia-espanola-asiste-al-juicio-contra-el-decano-del-colegio-de-abogados-de-estambul-y-su-junta/</w:t>
        </w:r>
      </w:hyperlink>
      <w:r w:rsidRPr="005A7C10">
        <w:rPr>
          <w:highlight w:val="yellow"/>
        </w:rPr>
        <w:t xml:space="preserve">. </w:t>
      </w:r>
      <w:r w:rsidRPr="005A7C10">
        <w:rPr>
          <w:highlight w:val="yellow"/>
          <w:lang w:val="es-ES"/>
        </w:rPr>
        <w:t xml:space="preserve">Apoyo a la defensa de la independencia de la abogacía en otros países donde se ve afectada. </w:t>
      </w:r>
    </w:p>
    <w:p w14:paraId="0994F99F" w14:textId="77777777" w:rsidR="005A7C10" w:rsidRPr="005A7C10" w:rsidRDefault="005A7C10" w:rsidP="005A7C10">
      <w:pPr>
        <w:jc w:val="both"/>
        <w:rPr>
          <w:highlight w:val="yellow"/>
          <w:lang w:val="es-ES"/>
        </w:rPr>
      </w:pPr>
    </w:p>
    <w:p w14:paraId="3338F4BF"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lastRenderedPageBreak/>
        <w:t>El Consejo General de la Abogacía Española refuerza el secreto profesional</w:t>
      </w:r>
      <w:r w:rsidRPr="005A7C10">
        <w:rPr>
          <w:highlight w:val="yellow"/>
          <w:lang w:val="es-ES"/>
        </w:rPr>
        <w:t xml:space="preserve">. </w:t>
      </w:r>
      <w:hyperlink r:id="rId22" w:history="1">
        <w:r w:rsidRPr="005A7C10">
          <w:rPr>
            <w:rStyle w:val="Hipervnculo"/>
            <w:highlight w:val="yellow"/>
            <w:lang w:val="es-ES"/>
          </w:rPr>
          <w:t xml:space="preserve">   https://www.abogacia.es/actualidad/noticias/el-consejo-general-de-la-abogacia-espanola-refuerza-el-secreto-profesional/</w:t>
        </w:r>
      </w:hyperlink>
      <w:r w:rsidRPr="005A7C10">
        <w:rPr>
          <w:highlight w:val="yellow"/>
          <w:lang w:val="es-ES"/>
        </w:rPr>
        <w:t>. Se refuerza su independencia a través de una Circular interpretativa que aclara la infracción y refuerza la protección del secreto profesional.</w:t>
      </w:r>
    </w:p>
    <w:p w14:paraId="6ECD44B3"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highlight w:val="yellow"/>
          <w:lang w:val="es-ES"/>
        </w:rPr>
        <w:t xml:space="preserve">La Abogacía comparte con ATA la satisfacción por la paralización de la subida de las cuotas de los autónomos. </w:t>
      </w:r>
      <w:hyperlink r:id="rId23" w:history="1">
        <w:r w:rsidRPr="005A7C10">
          <w:rPr>
            <w:rStyle w:val="Hipervnculo"/>
            <w:highlight w:val="yellow"/>
          </w:rPr>
          <w:t>https://www.abogacia.es/actualidad/noticias/la-abogacia-comparte-con-ata-la-satisfaccion-por-la-paralizacion-de-la-subida-de-las-cuotas-de-los-autonomos/</w:t>
        </w:r>
      </w:hyperlink>
      <w:r w:rsidRPr="005A7C10">
        <w:rPr>
          <w:highlight w:val="yellow"/>
        </w:rPr>
        <w:t xml:space="preserve">. </w:t>
      </w:r>
      <w:r w:rsidRPr="005A7C10">
        <w:rPr>
          <w:highlight w:val="yellow"/>
          <w:lang w:val="es-ES"/>
        </w:rPr>
        <w:t xml:space="preserve">Esta medida tiene un impacto directo en la capacidad económica y profesional de abogados que ejercen como autónomos, lo cual influye en su independencia real pues si tienen costes excesivos, pueden perder autonomía. </w:t>
      </w:r>
    </w:p>
    <w:p w14:paraId="53D17C84" w14:textId="77777777" w:rsidR="005A7C10" w:rsidRPr="005A7C10" w:rsidRDefault="005A7C10" w:rsidP="005A7C10">
      <w:pPr>
        <w:rPr>
          <w:highlight w:val="yellow"/>
          <w:lang w:val="es-ES"/>
        </w:rPr>
      </w:pPr>
      <w:r w:rsidRPr="005A7C10">
        <w:rPr>
          <w:highlight w:val="yellow"/>
          <w:lang w:val="es-ES"/>
        </w:rPr>
        <w:t>*Convenio para la Protección de la Abogacía</w:t>
      </w:r>
    </w:p>
    <w:p w14:paraId="26A2A69A" w14:textId="77777777" w:rsidR="005A7C10" w:rsidRPr="005A7C10" w:rsidRDefault="005A7C10" w:rsidP="005A7C10">
      <w:pPr>
        <w:pStyle w:val="Prrafodelista"/>
        <w:widowControl/>
        <w:numPr>
          <w:ilvl w:val="0"/>
          <w:numId w:val="10"/>
        </w:numPr>
        <w:autoSpaceDE/>
        <w:autoSpaceDN/>
        <w:spacing w:after="160" w:line="259" w:lineRule="auto"/>
        <w:contextualSpacing/>
        <w:jc w:val="both"/>
        <w:rPr>
          <w:i/>
          <w:iCs/>
          <w:highlight w:val="yellow"/>
          <w:lang w:val="es-ES"/>
        </w:rPr>
      </w:pPr>
      <w:r w:rsidRPr="005A7C10">
        <w:rPr>
          <w:highlight w:val="yellow"/>
          <w:lang w:val="es-ES"/>
        </w:rPr>
        <w:t>*Fuente externa</w:t>
      </w:r>
      <w:r w:rsidRPr="005A7C10">
        <w:rPr>
          <w:i/>
          <w:iCs/>
          <w:highlight w:val="yellow"/>
          <w:lang w:val="es-ES"/>
        </w:rPr>
        <w:t>: La Abogacía pide que España ratifique el convenio europeo que protege la profesión</w:t>
      </w:r>
      <w:r w:rsidRPr="005A7C10">
        <w:rPr>
          <w:highlight w:val="yellow"/>
          <w:lang w:val="es-ES"/>
        </w:rPr>
        <w:t xml:space="preserve"> </w:t>
      </w:r>
      <w:hyperlink r:id="rId24" w:history="1">
        <w:r w:rsidRPr="005A7C10">
          <w:rPr>
            <w:rStyle w:val="Hipervnculo"/>
            <w:highlight w:val="yellow"/>
            <w:lang w:val="es-ES"/>
          </w:rPr>
          <w:t>https://www.lawandtrends.com/noticias/abogacia/la-abogacia-pide-que-espana-ratifique-el-convenio-europeo-que-protege-la-profesion-1.html</w:t>
        </w:r>
      </w:hyperlink>
    </w:p>
    <w:p w14:paraId="48DE22D5"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lang w:val="es-ES"/>
        </w:rPr>
      </w:pPr>
      <w:r w:rsidRPr="005A7C10">
        <w:rPr>
          <w:i/>
          <w:iCs/>
          <w:highlight w:val="yellow"/>
          <w:lang w:val="es-ES"/>
        </w:rPr>
        <w:t>Justicia trabaja para que España sea uno de los primeros países en ratificar el Convenio Europeo de Protección de la Abogacía.</w:t>
      </w:r>
      <w:r w:rsidRPr="005A7C10">
        <w:rPr>
          <w:highlight w:val="yellow"/>
          <w:lang w:val="es-ES"/>
        </w:rPr>
        <w:t xml:space="preserve"> </w:t>
      </w:r>
      <w:hyperlink r:id="rId25" w:history="1">
        <w:r w:rsidRPr="005A7C10">
          <w:rPr>
            <w:rStyle w:val="Hipervnculo"/>
            <w:highlight w:val="yellow"/>
          </w:rPr>
          <w:t>https://www.abogacia.es/actualidad/noticias/justicia-trabaja-para-que-espana-sea-uno-de-los-primeros-paises-en-ratificar-el-convenio-europeo-de-proteccion-de-la-abogacia/</w:t>
        </w:r>
      </w:hyperlink>
      <w:r w:rsidRPr="005A7C10">
        <w:rPr>
          <w:highlight w:val="yellow"/>
        </w:rPr>
        <w:t xml:space="preserve">. </w:t>
      </w:r>
      <w:r w:rsidRPr="005A7C10">
        <w:rPr>
          <w:highlight w:val="yellow"/>
          <w:lang w:val="es-ES"/>
        </w:rPr>
        <w:t xml:space="preserve">La firma del convenio afectará a la protección y por ende independencia de la abogacía en España. </w:t>
      </w:r>
    </w:p>
    <w:p w14:paraId="0CEB2AC3" w14:textId="77777777" w:rsidR="005A7C10" w:rsidRPr="005A7C10" w:rsidRDefault="005A7C10" w:rsidP="005A7C10">
      <w:pPr>
        <w:pStyle w:val="Prrafodelista"/>
        <w:widowControl/>
        <w:numPr>
          <w:ilvl w:val="0"/>
          <w:numId w:val="10"/>
        </w:numPr>
        <w:autoSpaceDE/>
        <w:autoSpaceDN/>
        <w:spacing w:after="160" w:line="259" w:lineRule="auto"/>
        <w:contextualSpacing/>
        <w:jc w:val="both"/>
        <w:rPr>
          <w:highlight w:val="yellow"/>
        </w:rPr>
      </w:pPr>
      <w:r w:rsidRPr="005A7C10">
        <w:rPr>
          <w:i/>
          <w:iCs/>
          <w:highlight w:val="yellow"/>
          <w:lang w:val="es-ES"/>
        </w:rPr>
        <w:t>La Abogacía europea subraya en Italia la importancia del Convenio para la Protección de la Abogacía.</w:t>
      </w:r>
      <w:r w:rsidRPr="005A7C10">
        <w:rPr>
          <w:highlight w:val="yellow"/>
          <w:lang w:val="es-ES"/>
        </w:rPr>
        <w:t xml:space="preserve"> </w:t>
      </w:r>
      <w:hyperlink r:id="rId26" w:history="1">
        <w:r w:rsidRPr="005A7C10">
          <w:rPr>
            <w:rStyle w:val="Hipervnculo"/>
            <w:highlight w:val="yellow"/>
          </w:rPr>
          <w:t>https://www.abogacia.es/actualidad/noticias/la-abogacia-europea-subraya-en-italia-la-importancia-del-convenio-para-la-proteccion-de-la-abogacia/</w:t>
        </w:r>
      </w:hyperlink>
    </w:p>
    <w:p w14:paraId="34D4251A" w14:textId="77777777" w:rsidR="005A7C10" w:rsidRDefault="005A7C10" w:rsidP="005A7C10">
      <w:pPr>
        <w:pStyle w:val="Prrafodelista"/>
        <w:jc w:val="both"/>
      </w:pPr>
    </w:p>
    <w:p w14:paraId="1BB64F3B" w14:textId="77777777" w:rsidR="005A7C10" w:rsidRPr="005A7C10" w:rsidRDefault="005A7C10">
      <w:pPr>
        <w:spacing w:before="146"/>
        <w:ind w:left="395"/>
        <w:rPr>
          <w:i/>
          <w:sz w:val="19"/>
        </w:rPr>
      </w:pPr>
    </w:p>
    <w:p w14:paraId="63F24616" w14:textId="77777777" w:rsidR="00024E26" w:rsidRPr="005A7C10" w:rsidRDefault="00000000">
      <w:pPr>
        <w:pStyle w:val="Textoindependiente"/>
        <w:spacing w:before="2"/>
        <w:rPr>
          <w:i/>
          <w:sz w:val="5"/>
        </w:rPr>
      </w:pPr>
      <w:r>
        <w:rPr>
          <w:i/>
          <w:noProof/>
          <w:sz w:val="5"/>
        </w:rPr>
        <mc:AlternateContent>
          <mc:Choice Requires="wps">
            <w:drawing>
              <wp:anchor distT="0" distB="0" distL="0" distR="0" simplePos="0" relativeHeight="487600128" behindDoc="1" locked="0" layoutInCell="1" allowOverlap="1" wp14:anchorId="78796F57" wp14:editId="65B165CC">
                <wp:simplePos x="0" y="0"/>
                <wp:positionH relativeFrom="page">
                  <wp:posOffset>885825</wp:posOffset>
                </wp:positionH>
                <wp:positionV relativeFrom="paragraph">
                  <wp:posOffset>53570</wp:posOffset>
                </wp:positionV>
                <wp:extent cx="6191250" cy="390525"/>
                <wp:effectExtent l="0" t="0" r="0" b="0"/>
                <wp:wrapTopAndBottom/>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0845FA64" id="Graphic 70" o:spid="_x0000_s1026" style="position:absolute;margin-left:69.75pt;margin-top:4.2pt;width:487.5pt;height:30.75pt;z-index:-1571635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6077A8CF" w14:textId="77777777" w:rsidR="00024E26" w:rsidRPr="005A7C10" w:rsidRDefault="00024E26">
      <w:pPr>
        <w:pStyle w:val="Textoindependiente"/>
        <w:spacing w:before="111"/>
        <w:rPr>
          <w:i/>
          <w:sz w:val="19"/>
        </w:rPr>
      </w:pPr>
    </w:p>
    <w:p w14:paraId="6993FFD6" w14:textId="77777777" w:rsidR="00024E26" w:rsidRPr="005A7C10" w:rsidRDefault="00000000">
      <w:pPr>
        <w:pStyle w:val="Textoindependiente"/>
        <w:spacing w:before="1" w:line="352" w:lineRule="auto"/>
        <w:ind w:left="245" w:right="224"/>
        <w:rPr>
          <w:lang w:val="es-ES"/>
        </w:rPr>
      </w:pPr>
      <w:r w:rsidRPr="005A7C10">
        <w:rPr>
          <w:spacing w:val="-2"/>
          <w:lang w:val="es-ES"/>
        </w:rPr>
        <w:t xml:space="preserve">Acontecimientos significativos que puedan afectar a la percepción que </w:t>
      </w:r>
      <w:r w:rsidRPr="005A7C10">
        <w:rPr>
          <w:lang w:val="es-ES"/>
        </w:rPr>
        <w:t xml:space="preserve">tiene </w:t>
      </w:r>
      <w:r w:rsidRPr="005A7C10">
        <w:rPr>
          <w:spacing w:val="-2"/>
          <w:lang w:val="es-ES"/>
        </w:rPr>
        <w:t xml:space="preserve">el público en general </w:t>
      </w:r>
      <w:r w:rsidRPr="005A7C10">
        <w:rPr>
          <w:lang w:val="es-ES"/>
        </w:rPr>
        <w:t>de la independencia del poder judicial</w:t>
      </w:r>
    </w:p>
    <w:p w14:paraId="6DCAB17F" w14:textId="77777777" w:rsidR="00024E26" w:rsidRPr="00FA0972" w:rsidRDefault="00000000">
      <w:pPr>
        <w:ind w:left="395"/>
        <w:rPr>
          <w:i/>
          <w:sz w:val="19"/>
          <w:lang w:val="es-ES"/>
        </w:rPr>
      </w:pPr>
      <w:r w:rsidRPr="00FA0972">
        <w:rPr>
          <w:i/>
          <w:color w:val="666666"/>
          <w:sz w:val="19"/>
          <w:lang w:val="es-ES"/>
        </w:rPr>
        <w:t xml:space="preserve">5000 caracteres </w:t>
      </w:r>
      <w:r w:rsidRPr="00FA0972">
        <w:rPr>
          <w:i/>
          <w:color w:val="666666"/>
          <w:spacing w:val="-2"/>
          <w:sz w:val="19"/>
          <w:lang w:val="es-ES"/>
        </w:rPr>
        <w:t>como máximo</w:t>
      </w:r>
    </w:p>
    <w:p w14:paraId="14083F8A" w14:textId="77777777" w:rsidR="00024E26" w:rsidRPr="00FA0972" w:rsidRDefault="00000000">
      <w:pPr>
        <w:pStyle w:val="Textoindependiente"/>
        <w:spacing w:before="2"/>
        <w:rPr>
          <w:i/>
          <w:sz w:val="5"/>
          <w:lang w:val="es-ES"/>
        </w:rPr>
      </w:pPr>
      <w:r>
        <w:rPr>
          <w:i/>
          <w:noProof/>
          <w:sz w:val="5"/>
        </w:rPr>
        <mc:AlternateContent>
          <mc:Choice Requires="wps">
            <w:drawing>
              <wp:anchor distT="0" distB="0" distL="0" distR="0" simplePos="0" relativeHeight="487600640" behindDoc="1" locked="0" layoutInCell="1" allowOverlap="1" wp14:anchorId="619B336D" wp14:editId="1A10C127">
                <wp:simplePos x="0" y="0"/>
                <wp:positionH relativeFrom="page">
                  <wp:posOffset>885825</wp:posOffset>
                </wp:positionH>
                <wp:positionV relativeFrom="paragraph">
                  <wp:posOffset>53368</wp:posOffset>
                </wp:positionV>
                <wp:extent cx="6191250" cy="390525"/>
                <wp:effectExtent l="0" t="0" r="0" b="0"/>
                <wp:wrapTopAndBottom/>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0D52DEAB" id="Graphic 71" o:spid="_x0000_s1026" style="position:absolute;margin-left:69.75pt;margin-top:4.2pt;width:487.5pt;height:30.75pt;z-index:-1571584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31F474C3" w14:textId="5F1F3174"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La Abogacía alerta sobre los daños que ya ha causado el primer día de huelga de jueces y fiscales y pide minimizar su impacto (1 de julio de 2025)</w:t>
      </w:r>
    </w:p>
    <w:p w14:paraId="0A3027FF" w14:textId="52CDEC82"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La Abogacía ha lamentado hoy los daños incuestionables causados por el primer día de huelga de jueces y fiscales y ha alertado que las decenas de miles de asuntos afectados ya no se resolverán durante 2025, lo cual complicará todavía más la situación de un sistema judicial con casi ocho millones de asuntos pendientes.</w:t>
      </w:r>
    </w:p>
    <w:p w14:paraId="747B1C3A" w14:textId="77777777"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 xml:space="preserve">“No contamos con cifras oficiales del seguimiento de este primer </w:t>
      </w:r>
      <w:proofErr w:type="gramStart"/>
      <w:r w:rsidRPr="003043F7">
        <w:rPr>
          <w:iCs/>
          <w:sz w:val="22"/>
          <w:szCs w:val="22"/>
          <w:highlight w:val="yellow"/>
          <w:lang w:val="es-ES"/>
        </w:rPr>
        <w:t>día</w:t>
      </w:r>
      <w:proofErr w:type="gramEnd"/>
      <w:r w:rsidRPr="003043F7">
        <w:rPr>
          <w:iCs/>
          <w:sz w:val="22"/>
          <w:szCs w:val="22"/>
          <w:highlight w:val="yellow"/>
          <w:lang w:val="es-ES"/>
        </w:rPr>
        <w:t xml:space="preserve"> pero los decanos me han ido trasmitiendo ya las incidencias, las suspensiones y los desplazamientos en vano que se han producido en sus territorios. Sea cual sea la incidencia de la huelga, un solo día es mucho y el impacto es grande”, afirmó el presidente de la Abogacía, Salvador González. “El 2024 se cerró con casi ocho millones de asuntos pendientes y podríamos terminar 2025 con un panorama mucho peor”, añadió.</w:t>
      </w:r>
    </w:p>
    <w:p w14:paraId="31F6DEEC" w14:textId="1ADF3BAD"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 xml:space="preserve">Por ello González </w:t>
      </w:r>
      <w:proofErr w:type="gramStart"/>
      <w:r w:rsidRPr="003043F7">
        <w:rPr>
          <w:iCs/>
          <w:sz w:val="22"/>
          <w:szCs w:val="22"/>
          <w:highlight w:val="yellow"/>
          <w:lang w:val="es-ES"/>
        </w:rPr>
        <w:t>volvió a insistir</w:t>
      </w:r>
      <w:proofErr w:type="gramEnd"/>
      <w:r w:rsidRPr="003043F7">
        <w:rPr>
          <w:iCs/>
          <w:sz w:val="22"/>
          <w:szCs w:val="22"/>
          <w:highlight w:val="yellow"/>
          <w:lang w:val="es-ES"/>
        </w:rPr>
        <w:t xml:space="preserve"> en la necesidad de que las asociaciones de jueces y fiscales convocantes y el Gobierno reanuden el diálogo para poner fin al conflicto. Y pidió que mientras la huelga siga se cumplan los servicios mínimos y se pongan en marcha medidas para minimizar los daños a la ciudadanía y a los profesionales de la abogacía.</w:t>
      </w:r>
    </w:p>
    <w:p w14:paraId="66D2D554" w14:textId="77777777"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Concretamente reclamó, entre otras medidas, que se avise con antelación suficiente de las vistas y juicios suspendidos, que se articulen medidas para que las oficinas judiciales con el titular de huelga continúen tramitando asuntos, y que en aquellos juzgados donde los titulares no estén de huelga el trabajo se desarrolle con normalidad.</w:t>
      </w:r>
    </w:p>
    <w:p w14:paraId="414EF04D" w14:textId="77777777"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 xml:space="preserve">También solicitó que el retraso producido como consecuencia de esta huelga se trate de aliviar </w:t>
      </w:r>
      <w:r w:rsidRPr="003043F7">
        <w:rPr>
          <w:iCs/>
          <w:sz w:val="22"/>
          <w:szCs w:val="22"/>
          <w:highlight w:val="yellow"/>
          <w:lang w:val="es-ES"/>
        </w:rPr>
        <w:lastRenderedPageBreak/>
        <w:t>reagendando los asuntos tan pronto como sea posible y estableciendo, por parte de las administraciones, planes de recuperación que permitan que la ciudadanía afectada pueda ver reparados cuanto antes los daños causados.</w:t>
      </w:r>
    </w:p>
    <w:p w14:paraId="0C658C53" w14:textId="77777777" w:rsidR="00FA0972" w:rsidRPr="003043F7" w:rsidRDefault="00FA0972" w:rsidP="005F3CD3">
      <w:pPr>
        <w:pStyle w:val="Textoindependiente"/>
        <w:spacing w:before="111"/>
        <w:jc w:val="both"/>
        <w:rPr>
          <w:iCs/>
          <w:sz w:val="22"/>
          <w:szCs w:val="22"/>
          <w:highlight w:val="yellow"/>
          <w:lang w:val="es-ES"/>
        </w:rPr>
      </w:pPr>
      <w:r w:rsidRPr="003043F7">
        <w:rPr>
          <w:iCs/>
          <w:sz w:val="22"/>
          <w:szCs w:val="22"/>
          <w:highlight w:val="yellow"/>
          <w:lang w:val="es-ES"/>
        </w:rPr>
        <w:t xml:space="preserve">“No olvidemos que detrás de cada juicio suspendido, hay ciudadanos y profesionales de la abogacía que </w:t>
      </w:r>
      <w:proofErr w:type="gramStart"/>
      <w:r w:rsidRPr="003043F7">
        <w:rPr>
          <w:iCs/>
          <w:sz w:val="22"/>
          <w:szCs w:val="22"/>
          <w:highlight w:val="yellow"/>
          <w:lang w:val="es-ES"/>
        </w:rPr>
        <w:t>les</w:t>
      </w:r>
      <w:proofErr w:type="gramEnd"/>
      <w:r w:rsidRPr="003043F7">
        <w:rPr>
          <w:iCs/>
          <w:sz w:val="22"/>
          <w:szCs w:val="22"/>
          <w:highlight w:val="yellow"/>
          <w:lang w:val="es-ES"/>
        </w:rPr>
        <w:t xml:space="preserve"> acompañan que no han podido obtener hoy el derecho a la tutela judicial efectiva que les reconoce nuestra Constitución”, recordó el presidente de la Abogacía.</w:t>
      </w:r>
    </w:p>
    <w:p w14:paraId="1B7A41EA" w14:textId="3B3E945D" w:rsidR="00024E26" w:rsidRPr="003043F7" w:rsidRDefault="00FA0972" w:rsidP="005F3CD3">
      <w:pPr>
        <w:pStyle w:val="Textoindependiente"/>
        <w:spacing w:before="111"/>
        <w:jc w:val="both"/>
        <w:rPr>
          <w:iCs/>
          <w:sz w:val="22"/>
          <w:szCs w:val="22"/>
          <w:lang w:val="es-ES"/>
        </w:rPr>
      </w:pPr>
      <w:hyperlink r:id="rId27" w:history="1">
        <w:r w:rsidRPr="003043F7">
          <w:rPr>
            <w:rStyle w:val="Hipervnculo"/>
            <w:iCs/>
            <w:sz w:val="22"/>
            <w:szCs w:val="22"/>
            <w:highlight w:val="yellow"/>
            <w:lang w:val="es-ES"/>
          </w:rPr>
          <w:t>La Abogacía alerta sobre los daños que ya ha causado el primer día de huelga de jueces y fiscales y pide minimizar su impacto – Abogacía Española</w:t>
        </w:r>
      </w:hyperlink>
    </w:p>
    <w:p w14:paraId="24534B2F" w14:textId="77777777" w:rsidR="00FA0972" w:rsidRPr="00FA0972" w:rsidRDefault="00FA0972" w:rsidP="005F3CD3">
      <w:pPr>
        <w:pStyle w:val="Textoindependiente"/>
        <w:spacing w:before="111"/>
        <w:jc w:val="both"/>
        <w:rPr>
          <w:i/>
          <w:sz w:val="19"/>
          <w:lang w:val="es-ES"/>
        </w:rPr>
      </w:pPr>
    </w:p>
    <w:p w14:paraId="3C3F6B00" w14:textId="77777777" w:rsidR="00024E26" w:rsidRDefault="00000000" w:rsidP="005F3CD3">
      <w:pPr>
        <w:pStyle w:val="Prrafodelista"/>
        <w:numPr>
          <w:ilvl w:val="1"/>
          <w:numId w:val="3"/>
        </w:numPr>
        <w:tabs>
          <w:tab w:val="left" w:pos="558"/>
        </w:tabs>
        <w:ind w:left="558" w:hanging="313"/>
        <w:jc w:val="both"/>
        <w:rPr>
          <w:sz w:val="27"/>
        </w:rPr>
      </w:pPr>
      <w:r>
        <w:rPr>
          <w:spacing w:val="-2"/>
          <w:sz w:val="27"/>
        </w:rPr>
        <w:t xml:space="preserve">Calidad de la </w:t>
      </w:r>
      <w:proofErr w:type="spellStart"/>
      <w:r>
        <w:rPr>
          <w:spacing w:val="-2"/>
          <w:sz w:val="27"/>
        </w:rPr>
        <w:t>justicia</w:t>
      </w:r>
      <w:proofErr w:type="spellEnd"/>
    </w:p>
    <w:p w14:paraId="67F8B34B" w14:textId="77777777" w:rsidR="00024E26" w:rsidRPr="005A7C10" w:rsidRDefault="00000000" w:rsidP="005F3CD3">
      <w:pPr>
        <w:spacing w:before="255" w:line="602" w:lineRule="auto"/>
        <w:ind w:left="245" w:right="224"/>
        <w:jc w:val="both"/>
        <w:rPr>
          <w:i/>
          <w:sz w:val="16"/>
          <w:lang w:val="es-ES"/>
        </w:rPr>
      </w:pPr>
      <w:r w:rsidRPr="005A7C10">
        <w:rPr>
          <w:i/>
          <w:sz w:val="16"/>
          <w:lang w:val="es-ES"/>
        </w:rPr>
        <w:t xml:space="preserve">(En este apartado, no es necesario que facilite información estadística, pero sí debe aportar datos sobre el tipo de información descrito en la </w:t>
      </w:r>
      <w:r w:rsidRPr="005A7C10">
        <w:rPr>
          <w:i/>
          <w:spacing w:val="-2"/>
          <w:sz w:val="16"/>
          <w:lang w:val="es-ES"/>
        </w:rPr>
        <w:t>introducción).</w:t>
      </w:r>
    </w:p>
    <w:p w14:paraId="4B032B59" w14:textId="77777777" w:rsidR="00024E26" w:rsidRPr="005A7C10" w:rsidRDefault="00000000" w:rsidP="005F3CD3">
      <w:pPr>
        <w:spacing w:before="198" w:line="352" w:lineRule="auto"/>
        <w:ind w:left="245"/>
        <w:jc w:val="both"/>
        <w:rPr>
          <w:sz w:val="27"/>
          <w:lang w:val="es-ES"/>
        </w:rPr>
      </w:pPr>
      <w:r w:rsidRPr="005A7C10">
        <w:rPr>
          <w:b/>
          <w:i/>
          <w:sz w:val="27"/>
          <w:lang w:val="es-ES"/>
        </w:rPr>
        <w:t xml:space="preserve">[Relevancia para el mercado único] </w:t>
      </w:r>
      <w:r w:rsidRPr="005A7C10">
        <w:rPr>
          <w:sz w:val="27"/>
          <w:lang w:val="es-ES"/>
        </w:rPr>
        <w:t xml:space="preserve">Accesibilidad de los tribunales (por ejemplo, tasas judiciales, asistencia jurídica gratuita, </w:t>
      </w:r>
      <w:r w:rsidRPr="005A7C10">
        <w:rPr>
          <w:spacing w:val="-2"/>
          <w:sz w:val="27"/>
          <w:lang w:val="es-ES"/>
        </w:rPr>
        <w:t>idioma).</w:t>
      </w:r>
    </w:p>
    <w:p w14:paraId="53A2CCC6" w14:textId="77777777" w:rsidR="00024E26" w:rsidRDefault="00000000" w:rsidP="005F3CD3">
      <w:pPr>
        <w:spacing w:before="1"/>
        <w:ind w:left="395"/>
        <w:jc w:val="both"/>
        <w:rPr>
          <w:i/>
          <w:color w:val="666666"/>
          <w:spacing w:val="-2"/>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E9F8F1B" w14:textId="77777777" w:rsidR="005A7C10" w:rsidRPr="00C02CC1" w:rsidRDefault="005A7C10" w:rsidP="005F3CD3">
      <w:pPr>
        <w:pStyle w:val="Prrafodelista"/>
        <w:widowControl/>
        <w:numPr>
          <w:ilvl w:val="0"/>
          <w:numId w:val="11"/>
        </w:numPr>
        <w:autoSpaceDE/>
        <w:autoSpaceDN/>
        <w:spacing w:after="160" w:line="259" w:lineRule="auto"/>
        <w:contextualSpacing/>
        <w:jc w:val="both"/>
        <w:rPr>
          <w:highlight w:val="yellow"/>
          <w:lang w:val="es-ES"/>
        </w:rPr>
      </w:pPr>
      <w:r w:rsidRPr="00C02CC1">
        <w:rPr>
          <w:i/>
          <w:iCs/>
          <w:highlight w:val="yellow"/>
          <w:lang w:val="es-ES"/>
        </w:rPr>
        <w:t xml:space="preserve">La Abogacía Española exige la aplicación de la ley para hacer efectiva la conciliación y el respeto al principio del derecho de defensa. </w:t>
      </w:r>
      <w:hyperlink r:id="rId28" w:history="1">
        <w:r w:rsidRPr="00C02CC1">
          <w:rPr>
            <w:rStyle w:val="Hipervnculo"/>
            <w:highlight w:val="yellow"/>
          </w:rPr>
          <w:t>https://www.abogacia.es/actualidad/noticias/la-abogacia-espanola-exige-la-aplicacion-de-la-ley-para-hacer-efectiva-la-conciliacion-y-el-respeto-al-principio-del-derecho-de-defensa/</w:t>
        </w:r>
      </w:hyperlink>
      <w:r w:rsidRPr="00C02CC1">
        <w:rPr>
          <w:highlight w:val="yellow"/>
        </w:rPr>
        <w:t xml:space="preserve"> </w:t>
      </w:r>
      <w:r w:rsidRPr="00C02CC1">
        <w:rPr>
          <w:i/>
          <w:iCs/>
          <w:highlight w:val="yellow"/>
        </w:rPr>
        <w:t xml:space="preserve">. </w:t>
      </w:r>
      <w:r w:rsidRPr="00C02CC1">
        <w:rPr>
          <w:highlight w:val="yellow"/>
          <w:lang w:val="es-ES"/>
        </w:rPr>
        <w:t>Se reclama la aplicación efectiva de las reformas normativas y que cesen de denegarse injustificadamente las suspensiones de plazos procesales por la hospitalización o enfermedad grave de abogados; respetando el derecho de defensa y por ende de acceso.</w:t>
      </w:r>
      <w:r w:rsidRPr="00C02CC1">
        <w:rPr>
          <w:i/>
          <w:iCs/>
          <w:highlight w:val="yellow"/>
          <w:lang w:val="es-ES"/>
        </w:rPr>
        <w:t xml:space="preserve"> </w:t>
      </w:r>
      <w:r w:rsidRPr="00C02CC1">
        <w:rPr>
          <w:highlight w:val="yellow"/>
          <w:lang w:val="es-ES"/>
        </w:rPr>
        <w:t xml:space="preserve"> </w:t>
      </w:r>
    </w:p>
    <w:p w14:paraId="1A41B97B" w14:textId="77777777" w:rsidR="005A7C10" w:rsidRPr="00C02CC1" w:rsidRDefault="005A7C10" w:rsidP="005F3CD3">
      <w:pPr>
        <w:pStyle w:val="Prrafodelista"/>
        <w:jc w:val="both"/>
        <w:rPr>
          <w:highlight w:val="yellow"/>
          <w:lang w:val="es-ES"/>
        </w:rPr>
      </w:pPr>
    </w:p>
    <w:p w14:paraId="66755FC6" w14:textId="77777777" w:rsidR="005A7C10" w:rsidRDefault="005A7C10" w:rsidP="005F3CD3">
      <w:pPr>
        <w:pStyle w:val="Prrafodelista"/>
        <w:widowControl/>
        <w:numPr>
          <w:ilvl w:val="0"/>
          <w:numId w:val="11"/>
        </w:numPr>
        <w:autoSpaceDE/>
        <w:autoSpaceDN/>
        <w:spacing w:after="160" w:line="259" w:lineRule="auto"/>
        <w:contextualSpacing/>
        <w:jc w:val="both"/>
        <w:rPr>
          <w:highlight w:val="yellow"/>
          <w:lang w:val="es-ES"/>
        </w:rPr>
      </w:pPr>
      <w:r w:rsidRPr="00C02CC1">
        <w:rPr>
          <w:i/>
          <w:iCs/>
          <w:highlight w:val="yellow"/>
          <w:lang w:val="es-ES"/>
        </w:rPr>
        <w:t>Las cifras del turno de oficio revelan que su reforma es inaplazable</w:t>
      </w:r>
      <w:r w:rsidRPr="00C02CC1">
        <w:rPr>
          <w:highlight w:val="yellow"/>
          <w:lang w:val="es-ES"/>
        </w:rPr>
        <w:t xml:space="preserve">. </w:t>
      </w:r>
      <w:hyperlink r:id="rId29" w:history="1">
        <w:r w:rsidRPr="00C02CC1">
          <w:rPr>
            <w:rStyle w:val="Hipervnculo"/>
            <w:highlight w:val="yellow"/>
            <w:lang w:val="es-ES"/>
          </w:rPr>
          <w:t>https://www.abogacia.es/actualidad/noticias/las-cifras-del-turno-de-oficio-revelan-que-su-reforma-es-inaplazable/</w:t>
        </w:r>
      </w:hyperlink>
      <w:r w:rsidRPr="00C02CC1">
        <w:rPr>
          <w:highlight w:val="yellow"/>
          <w:lang w:val="es-ES"/>
        </w:rPr>
        <w:t xml:space="preserve"> Un descenso tan relevante en los adscritos al turno de oficio afecta al acceso a la justicia gratuita y por ende a la calidad del sistema.</w:t>
      </w:r>
    </w:p>
    <w:p w14:paraId="506204EF" w14:textId="77777777" w:rsidR="001577A1" w:rsidRPr="001577A1" w:rsidRDefault="001577A1" w:rsidP="005F3CD3">
      <w:pPr>
        <w:pStyle w:val="Prrafodelista"/>
        <w:jc w:val="both"/>
        <w:rPr>
          <w:highlight w:val="yellow"/>
          <w:lang w:val="es-ES"/>
        </w:rPr>
      </w:pPr>
    </w:p>
    <w:p w14:paraId="66FE99E0" w14:textId="04A8CE7D" w:rsidR="001577A1" w:rsidRDefault="001577A1" w:rsidP="005F3CD3">
      <w:pPr>
        <w:pStyle w:val="Prrafodelista"/>
        <w:widowControl/>
        <w:numPr>
          <w:ilvl w:val="0"/>
          <w:numId w:val="11"/>
        </w:numPr>
        <w:autoSpaceDE/>
        <w:autoSpaceDN/>
        <w:spacing w:after="160" w:line="259" w:lineRule="auto"/>
        <w:contextualSpacing/>
        <w:jc w:val="both"/>
        <w:rPr>
          <w:highlight w:val="yellow"/>
          <w:lang w:val="es-ES"/>
        </w:rPr>
      </w:pPr>
      <w:r w:rsidRPr="001577A1">
        <w:rPr>
          <w:highlight w:val="yellow"/>
          <w:lang w:val="es-ES"/>
        </w:rPr>
        <w:t>En el marco de las celebraciones por el Día de la Justicia Gratuita, que se conmemora cada 12 de julio, González también pidió nuevamente el impulso de una nueva Ley reguladora de la Asistencia Jurídica Gratuita “que tanta falta hace” y resulta “tan inaplazable como el incremento de baremos o el abono de todas las actuaciones realizadas, incluida, la actividad negociadora previa a juicio de la abogacía del Turno de Oficio”,</w:t>
      </w:r>
    </w:p>
    <w:p w14:paraId="26C32A1E" w14:textId="77777777" w:rsidR="00ED3262" w:rsidRPr="00ED3262" w:rsidRDefault="00ED3262" w:rsidP="005F3CD3">
      <w:pPr>
        <w:pStyle w:val="Prrafodelista"/>
        <w:jc w:val="both"/>
        <w:rPr>
          <w:highlight w:val="yellow"/>
          <w:lang w:val="es-ES"/>
        </w:rPr>
      </w:pPr>
    </w:p>
    <w:p w14:paraId="4C8BB59D" w14:textId="674BFC78" w:rsidR="00ED3262" w:rsidRPr="00C02CC1" w:rsidRDefault="00ED3262" w:rsidP="005F3CD3">
      <w:pPr>
        <w:pStyle w:val="Prrafodelista"/>
        <w:widowControl/>
        <w:numPr>
          <w:ilvl w:val="0"/>
          <w:numId w:val="11"/>
        </w:numPr>
        <w:autoSpaceDE/>
        <w:autoSpaceDN/>
        <w:spacing w:after="160" w:line="259" w:lineRule="auto"/>
        <w:contextualSpacing/>
        <w:jc w:val="both"/>
        <w:rPr>
          <w:highlight w:val="yellow"/>
          <w:lang w:val="es-ES"/>
        </w:rPr>
      </w:pPr>
      <w:r>
        <w:rPr>
          <w:highlight w:val="yellow"/>
          <w:lang w:val="es-ES"/>
        </w:rPr>
        <w:t xml:space="preserve">Conclusión Jornadas de Violencia de Género: </w:t>
      </w:r>
      <w:r w:rsidRPr="00ED3262">
        <w:rPr>
          <w:highlight w:val="yellow"/>
          <w:lang w:val="es-ES"/>
        </w:rPr>
        <w:t>La Abogacía Española reitera la reivindicación ya formulada en anteriores jornadas relativa a la necesidad de llevar a cabo la modificación legislativa que establezca el carácter preceptivo de la asistencia letrada a las víctimas desde el momento previo a la interposición de la denuncia, propuesta que ha contado con el aval del Observatorio de Violencia Doméstica y de Género del Consejo General del Poder Judicial y conforme a las medidas establecidas en el Pacto de Estado contra la Violencia de Género.</w:t>
      </w:r>
    </w:p>
    <w:p w14:paraId="2845F5C0" w14:textId="0B6FA21A" w:rsidR="00C02CC1" w:rsidRPr="00C02CC1" w:rsidRDefault="00C02CC1" w:rsidP="005F3CD3">
      <w:pPr>
        <w:pStyle w:val="NormalWeb"/>
        <w:numPr>
          <w:ilvl w:val="0"/>
          <w:numId w:val="11"/>
        </w:numPr>
        <w:jc w:val="both"/>
        <w:rPr>
          <w:rFonts w:ascii="Arial" w:hAnsi="Arial" w:cs="Arial"/>
          <w:b/>
          <w:bCs/>
          <w:sz w:val="22"/>
          <w:szCs w:val="22"/>
          <w:highlight w:val="yellow"/>
        </w:rPr>
      </w:pPr>
      <w:r w:rsidRPr="00C02CC1">
        <w:rPr>
          <w:rStyle w:val="Textoennegrita"/>
          <w:rFonts w:ascii="Arial" w:hAnsi="Arial" w:cs="Arial"/>
          <w:b w:val="0"/>
          <w:bCs w:val="0"/>
          <w:sz w:val="22"/>
          <w:szCs w:val="22"/>
          <w:highlight w:val="yellow"/>
        </w:rPr>
        <w:t>“Un incalculable número de personas han tenido que renunciar a reclamar sus derechos ante la Justicia porque la han convertido en económicamente impredecible”</w:t>
      </w:r>
      <w:r>
        <w:rPr>
          <w:rStyle w:val="Textoennegrita"/>
          <w:rFonts w:ascii="Arial" w:hAnsi="Arial" w:cs="Arial"/>
          <w:b w:val="0"/>
          <w:bCs w:val="0"/>
          <w:sz w:val="22"/>
          <w:szCs w:val="22"/>
          <w:highlight w:val="yellow"/>
        </w:rPr>
        <w:t xml:space="preserve"> </w:t>
      </w:r>
    </w:p>
    <w:p w14:paraId="547B629F" w14:textId="660F1AB1" w:rsidR="00054849" w:rsidRPr="00C02CC1" w:rsidRDefault="00054849" w:rsidP="005F3CD3">
      <w:pPr>
        <w:pStyle w:val="NormalWeb"/>
        <w:ind w:left="720"/>
        <w:jc w:val="both"/>
        <w:rPr>
          <w:rFonts w:ascii="Arial" w:hAnsi="Arial" w:cs="Arial"/>
          <w:sz w:val="22"/>
          <w:szCs w:val="22"/>
          <w:highlight w:val="yellow"/>
        </w:rPr>
      </w:pPr>
      <w:r w:rsidRPr="00C02CC1">
        <w:rPr>
          <w:rFonts w:ascii="Arial" w:hAnsi="Arial" w:cs="Arial"/>
          <w:sz w:val="22"/>
          <w:szCs w:val="22"/>
          <w:highlight w:val="yellow"/>
        </w:rPr>
        <w:t>Los expertos en resolución de conflictos exponen que los problemas complejos de explicar son mucho más difíciles de resolver que aquellos que todo el mundo puede entender en menos de 30 segundos, incluso aunque la solución de ambas cuestiones precise de accionar los mismos resortes.</w:t>
      </w:r>
      <w:r w:rsidR="00C02CC1">
        <w:rPr>
          <w:rFonts w:ascii="Arial" w:hAnsi="Arial" w:cs="Arial"/>
          <w:sz w:val="22"/>
          <w:szCs w:val="22"/>
          <w:highlight w:val="yellow"/>
        </w:rPr>
        <w:t xml:space="preserve"> </w:t>
      </w:r>
      <w:r w:rsidRPr="00C02CC1">
        <w:rPr>
          <w:rFonts w:ascii="Arial" w:hAnsi="Arial" w:cs="Arial"/>
          <w:sz w:val="22"/>
          <w:szCs w:val="22"/>
          <w:highlight w:val="yellow"/>
        </w:rPr>
        <w:t>Y es cierto que poco ayuda a resolver el problema de los criterios colegiales de honorarios para la tasación de costas tener que viajar al pasado para explicar por qué son tan importantes para el funcionamiento de la justicia en nuestro país.</w:t>
      </w:r>
      <w:r w:rsidR="00C02CC1">
        <w:rPr>
          <w:rFonts w:ascii="Arial" w:hAnsi="Arial" w:cs="Arial"/>
          <w:sz w:val="22"/>
          <w:szCs w:val="22"/>
          <w:highlight w:val="yellow"/>
        </w:rPr>
        <w:t xml:space="preserve"> </w:t>
      </w:r>
      <w:r w:rsidRPr="00C02CC1">
        <w:rPr>
          <w:rFonts w:ascii="Arial" w:hAnsi="Arial" w:cs="Arial"/>
          <w:sz w:val="22"/>
          <w:szCs w:val="22"/>
          <w:highlight w:val="yellow"/>
        </w:rPr>
        <w:t>La existencia de esos criterios no convertía a la Justicia en un servicio ejemplar, pero al menos cuando un cliente visitaba un despacho salía de él sabiendo las alternativas que le deparaba el futuro en el caso de ganar o perder el pleito. Aquel ciudadano conocía con mucha aproximación si podía asumir el riesgo de acudir a la Justicia y que el juez no le diera la razón.</w:t>
      </w:r>
    </w:p>
    <w:p w14:paraId="1B91A0A7" w14:textId="70683FCC" w:rsidR="00054849" w:rsidRPr="00C02CC1" w:rsidRDefault="00054849" w:rsidP="005F3CD3">
      <w:pPr>
        <w:pStyle w:val="NormalWeb"/>
        <w:ind w:left="720"/>
        <w:jc w:val="both"/>
        <w:rPr>
          <w:rFonts w:ascii="Arial" w:hAnsi="Arial" w:cs="Arial"/>
          <w:sz w:val="22"/>
          <w:szCs w:val="22"/>
          <w:highlight w:val="yellow"/>
        </w:rPr>
      </w:pPr>
      <w:r w:rsidRPr="00C02CC1">
        <w:rPr>
          <w:rFonts w:ascii="Arial" w:hAnsi="Arial" w:cs="Arial"/>
          <w:sz w:val="22"/>
          <w:szCs w:val="22"/>
          <w:highlight w:val="yellow"/>
        </w:rPr>
        <w:lastRenderedPageBreak/>
        <w:t>Sin embargo, hace unos años, la Comisión Nacional de Mercados y Competencia decidió que, siendo importante su utilidad, era más perjudicial su efecto sobre una posible fijación de los precios de mercado e impuso duras multas a algunos Colegios. Años más tarde, el Tribunal Supremo interpretó las leyes y les otorgó la razón.</w:t>
      </w:r>
      <w:r w:rsidR="00C02CC1">
        <w:rPr>
          <w:rFonts w:ascii="Arial" w:hAnsi="Arial" w:cs="Arial"/>
          <w:sz w:val="22"/>
          <w:szCs w:val="22"/>
          <w:highlight w:val="yellow"/>
        </w:rPr>
        <w:t xml:space="preserve"> </w:t>
      </w:r>
      <w:r w:rsidRPr="00C02CC1">
        <w:rPr>
          <w:rFonts w:ascii="Arial" w:hAnsi="Arial" w:cs="Arial"/>
          <w:sz w:val="22"/>
          <w:szCs w:val="22"/>
          <w:highlight w:val="yellow"/>
        </w:rPr>
        <w:t xml:space="preserve">No tuvimos más remedio que promover una reforma legal. No era fácil, pero lo conseguimos. </w:t>
      </w:r>
    </w:p>
    <w:p w14:paraId="3CCCEE4D" w14:textId="77777777" w:rsidR="00054849" w:rsidRPr="00ED3262" w:rsidRDefault="00054849" w:rsidP="005F3CD3">
      <w:pPr>
        <w:pStyle w:val="NormalWeb"/>
        <w:ind w:left="720"/>
        <w:jc w:val="both"/>
        <w:rPr>
          <w:rFonts w:ascii="Arial" w:hAnsi="Arial" w:cs="Arial"/>
          <w:sz w:val="22"/>
          <w:szCs w:val="22"/>
          <w:highlight w:val="yellow"/>
        </w:rPr>
      </w:pPr>
      <w:r w:rsidRPr="00ED3262">
        <w:rPr>
          <w:rStyle w:val="Textoennegrita"/>
          <w:rFonts w:ascii="Arial" w:hAnsi="Arial" w:cs="Arial"/>
          <w:b w:val="0"/>
          <w:bCs w:val="0"/>
          <w:sz w:val="22"/>
          <w:szCs w:val="22"/>
          <w:highlight w:val="yellow"/>
        </w:rPr>
        <w:t>El artículo 6 de la Ley del Derecho de Defensa dice: “los Colegios de la Abogacía podrán elaborar y publicar criterios orientativos, objetivos y transparentes, que permitan cuantificar y calcular el importe razonable de los honorarios a los solos efectos de la tasación de costas y la jura de cuentas”.</w:t>
      </w:r>
    </w:p>
    <w:p w14:paraId="2A516984" w14:textId="6A647071" w:rsidR="00054849" w:rsidRPr="00ED3262" w:rsidRDefault="00054849" w:rsidP="005F3CD3">
      <w:pPr>
        <w:pStyle w:val="NormalWeb"/>
        <w:ind w:left="720"/>
        <w:jc w:val="both"/>
        <w:rPr>
          <w:rFonts w:ascii="Arial" w:hAnsi="Arial" w:cs="Arial"/>
          <w:sz w:val="22"/>
          <w:szCs w:val="22"/>
          <w:highlight w:val="yellow"/>
        </w:rPr>
      </w:pPr>
      <w:r w:rsidRPr="00ED3262">
        <w:rPr>
          <w:rFonts w:ascii="Arial" w:hAnsi="Arial" w:cs="Arial"/>
          <w:sz w:val="22"/>
          <w:szCs w:val="22"/>
          <w:highlight w:val="yellow"/>
        </w:rPr>
        <w:t xml:space="preserve">No acierto a entender el motivo, pero </w:t>
      </w:r>
      <w:r w:rsidRPr="00ED3262">
        <w:rPr>
          <w:rStyle w:val="Textoennegrita"/>
          <w:rFonts w:ascii="Arial" w:hAnsi="Arial" w:cs="Arial"/>
          <w:b w:val="0"/>
          <w:bCs w:val="0"/>
          <w:sz w:val="22"/>
          <w:szCs w:val="22"/>
          <w:highlight w:val="yellow"/>
        </w:rPr>
        <w:t xml:space="preserve">la CNMC dice que lo publicado en el BOE no altera su visión de las cosas. </w:t>
      </w:r>
      <w:r w:rsidRPr="00ED3262">
        <w:rPr>
          <w:rFonts w:ascii="Arial" w:hAnsi="Arial" w:cs="Arial"/>
          <w:sz w:val="22"/>
          <w:szCs w:val="22"/>
          <w:highlight w:val="yellow"/>
        </w:rPr>
        <w:t>Los mismos consejeros y funcionarios que juraron cumplir y hacer cumplir la ley cuando tomaron posesión de sus cargos miran ahora hacia otro lado cuando una norma no se ajusta a su visión del mundo.</w:t>
      </w:r>
    </w:p>
    <w:p w14:paraId="75799829" w14:textId="23952DF7" w:rsidR="00054849" w:rsidRPr="00ED3262" w:rsidRDefault="00054849" w:rsidP="005F3CD3">
      <w:pPr>
        <w:pStyle w:val="NormalWeb"/>
        <w:ind w:left="720"/>
        <w:jc w:val="both"/>
        <w:rPr>
          <w:rStyle w:val="Textoennegrita"/>
          <w:rFonts w:ascii="Arial" w:hAnsi="Arial" w:cs="Arial"/>
          <w:b w:val="0"/>
          <w:bCs w:val="0"/>
          <w:sz w:val="22"/>
          <w:szCs w:val="22"/>
        </w:rPr>
      </w:pPr>
      <w:r w:rsidRPr="00ED3262">
        <w:rPr>
          <w:rFonts w:ascii="Arial" w:hAnsi="Arial" w:cs="Arial"/>
          <w:sz w:val="22"/>
          <w:szCs w:val="22"/>
          <w:highlight w:val="yellow"/>
        </w:rPr>
        <w:t>Mientras tanto, a pesar de contar con el respaldo de una Ley Orgánica,</w:t>
      </w:r>
      <w:r w:rsidRPr="00ED3262">
        <w:rPr>
          <w:rStyle w:val="Textoennegrita"/>
          <w:rFonts w:ascii="Arial" w:hAnsi="Arial" w:cs="Arial"/>
          <w:b w:val="0"/>
          <w:bCs w:val="0"/>
          <w:sz w:val="22"/>
          <w:szCs w:val="22"/>
          <w:highlight w:val="yellow"/>
        </w:rPr>
        <w:t xml:space="preserve"> decenas de miles de abogados </w:t>
      </w:r>
      <w:r w:rsidRPr="00ED3262">
        <w:rPr>
          <w:rFonts w:ascii="Arial" w:hAnsi="Arial" w:cs="Arial"/>
          <w:sz w:val="22"/>
          <w:szCs w:val="22"/>
          <w:highlight w:val="yellow"/>
        </w:rPr>
        <w:t xml:space="preserve">nos vemos obligados a seguir explicando a cientos de miles de clientes que </w:t>
      </w:r>
      <w:r w:rsidRPr="00ED3262">
        <w:rPr>
          <w:rStyle w:val="Textoennegrita"/>
          <w:rFonts w:ascii="Arial" w:hAnsi="Arial" w:cs="Arial"/>
          <w:b w:val="0"/>
          <w:bCs w:val="0"/>
          <w:sz w:val="22"/>
          <w:szCs w:val="22"/>
          <w:highlight w:val="yellow"/>
        </w:rPr>
        <w:t>no podemos saber a cuánto ascendería el coste de la derrota porque ese derecho colisiona con la libre competencia.</w:t>
      </w:r>
      <w:r w:rsidR="00C02CC1" w:rsidRPr="00ED3262">
        <w:rPr>
          <w:rStyle w:val="Textoennegrita"/>
          <w:rFonts w:ascii="Arial" w:hAnsi="Arial" w:cs="Arial"/>
          <w:b w:val="0"/>
          <w:bCs w:val="0"/>
          <w:sz w:val="22"/>
          <w:szCs w:val="22"/>
          <w:highlight w:val="yellow"/>
        </w:rPr>
        <w:t xml:space="preserve"> </w:t>
      </w:r>
      <w:r w:rsidRPr="00ED3262">
        <w:rPr>
          <w:rStyle w:val="Textoennegrita"/>
          <w:rFonts w:ascii="Arial" w:hAnsi="Arial" w:cs="Arial"/>
          <w:b w:val="0"/>
          <w:bCs w:val="0"/>
          <w:sz w:val="22"/>
          <w:szCs w:val="22"/>
          <w:highlight w:val="yellow"/>
        </w:rPr>
        <w:t>Y como consecuencia de ello, un incalculable número de personas han tenido que renunciar a reclamar sus derechos ante la Justicia porque la han convertido en económicamente impredecible.</w:t>
      </w:r>
    </w:p>
    <w:p w14:paraId="0285147B" w14:textId="70EC8B70" w:rsidR="00C02CC1" w:rsidRPr="00C02CC1" w:rsidRDefault="00C02CC1" w:rsidP="00054849">
      <w:pPr>
        <w:pStyle w:val="NormalWeb"/>
        <w:ind w:left="720"/>
        <w:rPr>
          <w:rFonts w:ascii="Arial" w:hAnsi="Arial" w:cs="Arial"/>
          <w:sz w:val="22"/>
          <w:szCs w:val="22"/>
        </w:rPr>
      </w:pPr>
      <w:hyperlink r:id="rId30" w:history="1">
        <w:r w:rsidRPr="008E2001">
          <w:rPr>
            <w:rStyle w:val="Hipervnculo"/>
            <w:rFonts w:ascii="Arial" w:hAnsi="Arial" w:cs="Arial"/>
            <w:sz w:val="22"/>
            <w:szCs w:val="22"/>
          </w:rPr>
          <w:t>https://confilegal.com/20260116-opinion-honorarios-sin-criterios/</w:t>
        </w:r>
      </w:hyperlink>
      <w:r>
        <w:rPr>
          <w:rFonts w:ascii="Arial" w:hAnsi="Arial" w:cs="Arial"/>
          <w:sz w:val="22"/>
          <w:szCs w:val="22"/>
        </w:rPr>
        <w:t xml:space="preserve"> </w:t>
      </w:r>
    </w:p>
    <w:p w14:paraId="2D0B3CC7" w14:textId="77777777" w:rsidR="005A7C10" w:rsidRPr="005A7C10" w:rsidRDefault="005A7C10">
      <w:pPr>
        <w:spacing w:before="1"/>
        <w:ind w:left="395"/>
        <w:rPr>
          <w:i/>
          <w:sz w:val="19"/>
          <w:lang w:val="es-ES"/>
        </w:rPr>
      </w:pPr>
    </w:p>
    <w:p w14:paraId="2796A0CC"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01152" behindDoc="1" locked="0" layoutInCell="1" allowOverlap="1" wp14:anchorId="0FCEC5DE" wp14:editId="0A89A12E">
                <wp:simplePos x="0" y="0"/>
                <wp:positionH relativeFrom="page">
                  <wp:posOffset>885825</wp:posOffset>
                </wp:positionH>
                <wp:positionV relativeFrom="paragraph">
                  <wp:posOffset>53574</wp:posOffset>
                </wp:positionV>
                <wp:extent cx="6191250" cy="390525"/>
                <wp:effectExtent l="0" t="0" r="0" b="0"/>
                <wp:wrapTopAndBottom/>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62DF4BB" id="Graphic 72" o:spid="_x0000_s1026" style="position:absolute;margin-left:69.75pt;margin-top:4.2pt;width:487.5pt;height:30.75pt;z-index:-1571532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58A375EB" w14:textId="77777777" w:rsidR="00024E26" w:rsidRPr="005A7C10" w:rsidRDefault="00024E26">
      <w:pPr>
        <w:pStyle w:val="Textoindependiente"/>
        <w:spacing w:before="111"/>
        <w:rPr>
          <w:i/>
          <w:sz w:val="19"/>
          <w:lang w:val="es-ES"/>
        </w:rPr>
      </w:pPr>
    </w:p>
    <w:p w14:paraId="11EFA0F9" w14:textId="77777777" w:rsidR="00024E26" w:rsidRPr="005A7C10" w:rsidRDefault="00000000">
      <w:pPr>
        <w:pStyle w:val="Textoindependiente"/>
        <w:spacing w:before="1" w:line="352" w:lineRule="auto"/>
        <w:ind w:left="245" w:right="50"/>
        <w:jc w:val="both"/>
        <w:rPr>
          <w:lang w:val="es-ES"/>
        </w:rPr>
      </w:pPr>
      <w:r w:rsidRPr="005A7C10">
        <w:rPr>
          <w:spacing w:val="-2"/>
          <w:lang w:val="es-ES"/>
        </w:rPr>
        <w:t xml:space="preserve">Recursos del poder judicial (humanos, financieros y materiales), remuneración, bonificaciones y recompensas </w:t>
      </w:r>
      <w:r w:rsidRPr="005A7C10">
        <w:rPr>
          <w:lang w:val="es-ES"/>
        </w:rPr>
        <w:t>de los jueces y fiscales, incluidos los cambios observados (aumentos o disminuciones significativos y específicos durante el último año).</w:t>
      </w:r>
    </w:p>
    <w:p w14:paraId="30FF39D0" w14:textId="77777777" w:rsidR="00024E26" w:rsidRPr="005A7C10" w:rsidRDefault="00000000">
      <w:pPr>
        <w:spacing w:before="102"/>
        <w:ind w:left="245"/>
        <w:rPr>
          <w:i/>
          <w:sz w:val="16"/>
          <w:lang w:val="es-ES"/>
        </w:rPr>
      </w:pPr>
      <w:r w:rsidRPr="005A7C10">
        <w:rPr>
          <w:i/>
          <w:sz w:val="16"/>
          <w:lang w:val="es-ES"/>
        </w:rPr>
        <w:t xml:space="preserve">(Los recursos materiales se refieren, por ejemplo, a los edificios de los tribunales y otras instalaciones. Los recursos financieros incluyen los salarios del personal de los tribunales y </w:t>
      </w:r>
      <w:r w:rsidRPr="005A7C10">
        <w:rPr>
          <w:i/>
          <w:spacing w:val="-2"/>
          <w:sz w:val="16"/>
          <w:lang w:val="es-ES"/>
        </w:rPr>
        <w:t>las fiscalías</w:t>
      </w:r>
    </w:p>
    <w:p w14:paraId="4A59B3BC" w14:textId="77777777" w:rsidR="00024E26" w:rsidRPr="005A7C10" w:rsidRDefault="00024E26">
      <w:pPr>
        <w:pStyle w:val="Textoindependiente"/>
        <w:spacing w:before="87"/>
        <w:rPr>
          <w:i/>
          <w:sz w:val="16"/>
          <w:lang w:val="es-ES"/>
        </w:rPr>
      </w:pPr>
    </w:p>
    <w:p w14:paraId="6E50FE99" w14:textId="77777777" w:rsidR="00024E26" w:rsidRPr="005A7C10" w:rsidRDefault="00000000">
      <w:pPr>
        <w:spacing w:before="1"/>
        <w:ind w:left="245"/>
        <w:rPr>
          <w:i/>
          <w:sz w:val="16"/>
          <w:lang w:val="es-ES"/>
        </w:rPr>
      </w:pPr>
      <w:r w:rsidRPr="005A7C10">
        <w:rPr>
          <w:i/>
          <w:spacing w:val="-2"/>
          <w:sz w:val="16"/>
          <w:lang w:val="es-ES"/>
        </w:rPr>
        <w:t>).</w:t>
      </w:r>
    </w:p>
    <w:p w14:paraId="3444227A" w14:textId="77777777" w:rsidR="00024E26" w:rsidRPr="005A7C10" w:rsidRDefault="00000000">
      <w:pPr>
        <w:spacing w:before="169"/>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34EB7591"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01664" behindDoc="1" locked="0" layoutInCell="1" allowOverlap="1" wp14:anchorId="5CF918C8" wp14:editId="5B389DE6">
                <wp:simplePos x="0" y="0"/>
                <wp:positionH relativeFrom="page">
                  <wp:posOffset>885825</wp:posOffset>
                </wp:positionH>
                <wp:positionV relativeFrom="paragraph">
                  <wp:posOffset>53781</wp:posOffset>
                </wp:positionV>
                <wp:extent cx="6191250" cy="390525"/>
                <wp:effectExtent l="0" t="0" r="0" b="0"/>
                <wp:wrapTopAndBottom/>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29BFA142" id="Graphic 73" o:spid="_x0000_s1026" style="position:absolute;margin-left:69.75pt;margin-top:4.25pt;width:487.5pt;height:30.75pt;z-index:-1571481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19357342" w14:textId="39B97842"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Declaración institucional del CGAE:</w:t>
      </w:r>
    </w:p>
    <w:p w14:paraId="53706711" w14:textId="5BA6631F"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“El Consejo General de la Abogacía Española, reunido en Pleno, contempla con enorme preocupación la colisión que se avecina entre cinco asociaciones de jueces y fiscales y el Gobierno. Las posiciones sostenidas hasta ahora auguran no solo los tres días de huelga convocados para la semana próxima, sino un rosario de protestas y paros que podrían sumir de nuevo a la Justicia española en la parálisis.</w:t>
      </w:r>
    </w:p>
    <w:p w14:paraId="1A2ED0A5" w14:textId="77777777"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Nos encontramos, además, con que el Consejo General del Poder Judicial ha declarado en el día de ayer que la convocatoria de huelga carece de soporte normativo, por lo que no la tendrá por anunciada ni fijará servicios mínimos. Circunstancia que genera más incertidumbre e inseguridad sobre el desarrollo de la huelga y que tal y como indica el propio CGPJ, nos lleva a apelar a la responsabilidad institucional de quienes ejercen funciones constitucionales, sean estas legislativas, de gobierno o jurisdiccionales</w:t>
      </w:r>
    </w:p>
    <w:p w14:paraId="1106F8C6" w14:textId="77777777"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Ante los graves perjuicios que este enfrentamiento puede causar en la ciudadanía, el principal órgano de la Abogacía reclama a las dos partes que reanuden el diálogo. Ni la reforma es tan urgente después de décadas de funcionamiento con el sistema de acceso vigente, ni las huelgas consecutivas debieran ser nunca la primera voz de rechazo a una iniciativa política.</w:t>
      </w:r>
    </w:p>
    <w:p w14:paraId="53828B8F" w14:textId="77777777"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 xml:space="preserve">Por ello, la Abogacía reclama sensatez y empatía con las decenas de miles de profesionales y ciudadanos que la semana próxima, pero también el resto del mes, van a ver atropellado su derecho a una tutela judicial </w:t>
      </w:r>
      <w:r w:rsidRPr="00FA0972">
        <w:rPr>
          <w:iCs/>
          <w:sz w:val="22"/>
          <w:szCs w:val="22"/>
          <w:highlight w:val="yellow"/>
          <w:lang w:val="es-ES"/>
        </w:rPr>
        <w:lastRenderedPageBreak/>
        <w:t>efectiva en un plazo razonable. Son muchos los profesionales de la abogacía y los ciudadanos que se desplazan diariamente para actuaciones judiciales y vistas y por eso reclamamos que, en caso de que se llegue finalmente a la huelga, se proceda con sensibilidad y respeto para tratar de minimizar los daños.</w:t>
      </w:r>
    </w:p>
    <w:p w14:paraId="5230DFAA" w14:textId="77777777"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Sabemos que los tiempos de numerosos juzgados españoles dejaron de ser aceptables hace mucho tiempo, pero multiplicar sus dilaciones puede tener un efecto devastador.</w:t>
      </w:r>
    </w:p>
    <w:p w14:paraId="38015A1F" w14:textId="77777777" w:rsidR="00FA0972" w:rsidRPr="00FA0972" w:rsidRDefault="00FA0972" w:rsidP="005F3CD3">
      <w:pPr>
        <w:pStyle w:val="Textoindependiente"/>
        <w:spacing w:before="26"/>
        <w:jc w:val="both"/>
        <w:rPr>
          <w:iCs/>
          <w:sz w:val="22"/>
          <w:szCs w:val="22"/>
          <w:highlight w:val="yellow"/>
          <w:lang w:val="es-ES"/>
        </w:rPr>
      </w:pPr>
      <w:r w:rsidRPr="00FA0972">
        <w:rPr>
          <w:iCs/>
          <w:sz w:val="22"/>
          <w:szCs w:val="22"/>
          <w:highlight w:val="yellow"/>
          <w:lang w:val="es-ES"/>
        </w:rPr>
        <w:t>Que no se produzca siquiera un acercamiento entre las partes para evitar las nefastas consecuencias de la huelga sería de todo punto incomprensible para los operadores jurídicos que llevamos años pidiendo reformas para revertir el deterioro del servicio y muy especialmente para la ciudadanía que por miles se verá afectada,</w:t>
      </w:r>
    </w:p>
    <w:p w14:paraId="26EB172D" w14:textId="77777777" w:rsidR="00FA0972" w:rsidRDefault="00FA0972" w:rsidP="005F3CD3">
      <w:pPr>
        <w:pStyle w:val="Textoindependiente"/>
        <w:spacing w:before="26"/>
        <w:jc w:val="both"/>
        <w:rPr>
          <w:iCs/>
          <w:sz w:val="22"/>
          <w:szCs w:val="22"/>
          <w:lang w:val="es-ES"/>
        </w:rPr>
      </w:pPr>
      <w:r w:rsidRPr="00FA0972">
        <w:rPr>
          <w:iCs/>
          <w:sz w:val="22"/>
          <w:szCs w:val="22"/>
          <w:highlight w:val="yellow"/>
          <w:lang w:val="es-ES"/>
        </w:rPr>
        <w:t>Por último, el Pleno de la Abogacía exhorta a unos y otros a tomar conciencia de que la Justicia se defiende todos y cada uno de los días en que funciona con normalidad, llamando su atención para que traten por todos los medios de evitar que se produzca un grave daño a un servicio ya de por sí muy vilipendiado”</w:t>
      </w:r>
    </w:p>
    <w:p w14:paraId="51C5ADAD" w14:textId="358DCA66" w:rsidR="00FA0972" w:rsidRPr="00FA0972" w:rsidRDefault="00FA0972" w:rsidP="005F3CD3">
      <w:pPr>
        <w:pStyle w:val="Textoindependiente"/>
        <w:spacing w:before="26"/>
        <w:jc w:val="both"/>
        <w:rPr>
          <w:iCs/>
          <w:sz w:val="22"/>
          <w:szCs w:val="22"/>
          <w:u w:val="single"/>
          <w:lang w:val="es-ES"/>
        </w:rPr>
      </w:pPr>
      <w:hyperlink r:id="rId31" w:history="1">
        <w:r w:rsidRPr="00FA0972">
          <w:rPr>
            <w:rStyle w:val="Hipervnculo"/>
            <w:iCs/>
            <w:sz w:val="22"/>
            <w:szCs w:val="22"/>
            <w:lang w:val="es-ES"/>
          </w:rPr>
          <w:t>La Justicia se defiende en el día a día – Abogacía Española</w:t>
        </w:r>
      </w:hyperlink>
    </w:p>
    <w:p w14:paraId="480A0DF2" w14:textId="77777777" w:rsidR="00024E26" w:rsidRPr="005A7C10" w:rsidRDefault="00024E26">
      <w:pPr>
        <w:pStyle w:val="Textoindependiente"/>
        <w:spacing w:before="26"/>
        <w:rPr>
          <w:i/>
          <w:lang w:val="es-ES"/>
        </w:rPr>
      </w:pPr>
    </w:p>
    <w:p w14:paraId="44C5E7B0" w14:textId="77777777" w:rsidR="00024E26" w:rsidRPr="005A7C10" w:rsidRDefault="00000000">
      <w:pPr>
        <w:pStyle w:val="Textoindependiente"/>
        <w:spacing w:line="352" w:lineRule="auto"/>
        <w:ind w:left="245"/>
        <w:rPr>
          <w:lang w:val="es-ES"/>
        </w:rPr>
      </w:pPr>
      <w:r w:rsidRPr="005A7C10">
        <w:rPr>
          <w:b/>
          <w:i/>
          <w:lang w:val="es-ES"/>
        </w:rPr>
        <w:t xml:space="preserve">[Relevancia para el mercado único] </w:t>
      </w:r>
      <w:r w:rsidRPr="005A7C10">
        <w:rPr>
          <w:lang w:val="es-ES"/>
        </w:rPr>
        <w:t>Formación de profesionales de la justicia (incluidos jueces, fiscales, abogados, personal judicial, secretarios/pasantes)</w:t>
      </w:r>
    </w:p>
    <w:p w14:paraId="77561E8E" w14:textId="77777777" w:rsidR="00024E26" w:rsidRDefault="00000000">
      <w:pPr>
        <w:spacing w:before="1"/>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2017CAF2" w14:textId="77777777" w:rsidR="00024E26" w:rsidRDefault="00024E26">
      <w:pPr>
        <w:rPr>
          <w:i/>
          <w:sz w:val="19"/>
        </w:rPr>
      </w:pPr>
    </w:p>
    <w:p w14:paraId="4BD1769D" w14:textId="77777777" w:rsidR="005A7C10" w:rsidRDefault="005A7C10" w:rsidP="005A7C10">
      <w:pPr>
        <w:jc w:val="both"/>
        <w:rPr>
          <w:b/>
          <w:bCs/>
        </w:rPr>
      </w:pPr>
    </w:p>
    <w:p w14:paraId="3DC03090" w14:textId="77777777" w:rsidR="005A7C10" w:rsidRPr="005A7C10" w:rsidRDefault="005A7C10" w:rsidP="005A7C10">
      <w:pPr>
        <w:pStyle w:val="Prrafodelista"/>
        <w:widowControl/>
        <w:numPr>
          <w:ilvl w:val="0"/>
          <w:numId w:val="12"/>
        </w:numPr>
        <w:autoSpaceDE/>
        <w:autoSpaceDN/>
        <w:spacing w:after="160" w:line="259" w:lineRule="auto"/>
        <w:contextualSpacing/>
        <w:jc w:val="both"/>
        <w:rPr>
          <w:highlight w:val="yellow"/>
          <w:lang w:val="es-ES"/>
        </w:rPr>
      </w:pPr>
      <w:r w:rsidRPr="005A7C10">
        <w:rPr>
          <w:highlight w:val="yellow"/>
          <w:lang w:val="es-ES"/>
        </w:rPr>
        <w:t xml:space="preserve">Desde el CGAE, se han ofrecido diversas formaciones para abogados: </w:t>
      </w:r>
      <w:hyperlink r:id="rId32" w:history="1">
        <w:r w:rsidRPr="005A7C10">
          <w:rPr>
            <w:rStyle w:val="Hipervnculo"/>
            <w:highlight w:val="yellow"/>
            <w:lang w:val="es-ES"/>
          </w:rPr>
          <w:t>https://www.abogacia.es/formacion/</w:t>
        </w:r>
      </w:hyperlink>
    </w:p>
    <w:p w14:paraId="1113E1C0" w14:textId="77777777" w:rsidR="005A7C10" w:rsidRPr="005A7C10" w:rsidRDefault="005A7C10" w:rsidP="005A7C10">
      <w:pPr>
        <w:pStyle w:val="Prrafodelista"/>
        <w:jc w:val="both"/>
        <w:rPr>
          <w:highlight w:val="yellow"/>
          <w:lang w:val="es-ES"/>
        </w:rPr>
      </w:pPr>
    </w:p>
    <w:p w14:paraId="5A0BD575" w14:textId="115D7389" w:rsidR="005A7C10" w:rsidRPr="005A7C10" w:rsidRDefault="005A7C10" w:rsidP="005A7C10">
      <w:pPr>
        <w:pStyle w:val="Prrafodelista"/>
        <w:widowControl/>
        <w:numPr>
          <w:ilvl w:val="0"/>
          <w:numId w:val="12"/>
        </w:numPr>
        <w:autoSpaceDE/>
        <w:autoSpaceDN/>
        <w:spacing w:after="160" w:line="259" w:lineRule="auto"/>
        <w:contextualSpacing/>
        <w:jc w:val="both"/>
        <w:rPr>
          <w:rStyle w:val="Hipervnculo"/>
          <w:highlight w:val="yellow"/>
          <w:lang w:val="es-ES"/>
        </w:rPr>
      </w:pPr>
      <w:r w:rsidRPr="005A7C10">
        <w:rPr>
          <w:i/>
          <w:iCs/>
          <w:highlight w:val="yellow"/>
          <w:lang w:val="es-ES"/>
        </w:rPr>
        <w:t xml:space="preserve">Más de 17.000 profesionales de la abogacía ya se están formando con el Programa </w:t>
      </w:r>
      <w:proofErr w:type="spellStart"/>
      <w:r w:rsidRPr="005A7C10">
        <w:rPr>
          <w:i/>
          <w:iCs/>
          <w:highlight w:val="yellow"/>
          <w:lang w:val="es-ES"/>
        </w:rPr>
        <w:t>Upro</w:t>
      </w:r>
      <w:proofErr w:type="spellEnd"/>
      <w:r w:rsidRPr="005A7C10">
        <w:rPr>
          <w:i/>
          <w:iCs/>
          <w:highlight w:val="yellow"/>
          <w:lang w:val="es-ES"/>
        </w:rPr>
        <w:t xml:space="preserve"> en Competencias Digitales que se están formando sin coste para ellos con el Programa </w:t>
      </w:r>
      <w:proofErr w:type="spellStart"/>
      <w:r w:rsidRPr="005A7C10">
        <w:rPr>
          <w:i/>
          <w:iCs/>
          <w:highlight w:val="yellow"/>
          <w:lang w:val="es-ES"/>
        </w:rPr>
        <w:t>Upro</w:t>
      </w:r>
      <w:proofErr w:type="spellEnd"/>
      <w:r w:rsidRPr="005A7C10">
        <w:rPr>
          <w:i/>
          <w:iCs/>
          <w:highlight w:val="yellow"/>
          <w:lang w:val="es-ES"/>
        </w:rPr>
        <w:t xml:space="preserve"> en Competencias Digitales, dotado con 200 millones de euros en fondos europeos y que capacitará hasta el mes de junio de 2026 a decenas de miles de </w:t>
      </w:r>
      <w:proofErr w:type="gramStart"/>
      <w:r w:rsidRPr="005A7C10">
        <w:rPr>
          <w:i/>
          <w:iCs/>
          <w:highlight w:val="yellow"/>
          <w:lang w:val="es-ES"/>
        </w:rPr>
        <w:t>abogados y abogadas</w:t>
      </w:r>
      <w:proofErr w:type="gramEnd"/>
      <w:r w:rsidRPr="005A7C10">
        <w:rPr>
          <w:i/>
          <w:iCs/>
          <w:highlight w:val="yellow"/>
          <w:lang w:val="es-ES"/>
        </w:rPr>
        <w:t xml:space="preserve"> para que afronten mejor los retos digitales de la profesión. </w:t>
      </w:r>
      <w:r w:rsidRPr="005A7C10">
        <w:rPr>
          <w:rStyle w:val="Hipervnculo"/>
          <w:highlight w:val="yellow"/>
          <w:lang w:val="es-ES"/>
        </w:rPr>
        <w:t>https://www.abogacia.es/actualidad/noticias/mas-de-15-000-profesionales-de-la-abogacia-ya-se-estan-formando-con-el-programa-upro-en-competencias-digitales/</w:t>
      </w:r>
    </w:p>
    <w:p w14:paraId="3DDF22B3" w14:textId="48481FC3" w:rsidR="005A7C10" w:rsidRPr="005A7C10" w:rsidRDefault="005A7C10" w:rsidP="005A7C10">
      <w:pPr>
        <w:pStyle w:val="Prrafodelista"/>
        <w:widowControl/>
        <w:numPr>
          <w:ilvl w:val="0"/>
          <w:numId w:val="12"/>
        </w:numPr>
        <w:autoSpaceDE/>
        <w:autoSpaceDN/>
        <w:spacing w:after="160" w:line="259" w:lineRule="auto"/>
        <w:contextualSpacing/>
        <w:jc w:val="both"/>
        <w:rPr>
          <w:i/>
          <w:sz w:val="19"/>
          <w:lang w:val="es-ES"/>
        </w:rPr>
        <w:sectPr w:rsidR="005A7C10" w:rsidRPr="005A7C10">
          <w:pgSz w:w="11910" w:h="16840"/>
          <w:pgMar w:top="700" w:right="708" w:bottom="480" w:left="850" w:header="0" w:footer="293" w:gutter="0"/>
          <w:cols w:space="720"/>
        </w:sectPr>
      </w:pPr>
    </w:p>
    <w:p w14:paraId="34430345" w14:textId="77777777" w:rsidR="00024E26" w:rsidRDefault="00000000">
      <w:pPr>
        <w:ind w:left="545" w:right="-15"/>
        <w:rPr>
          <w:sz w:val="20"/>
        </w:rPr>
      </w:pPr>
      <w:r>
        <w:rPr>
          <w:noProof/>
          <w:sz w:val="20"/>
        </w:rPr>
        <w:lastRenderedPageBreak/>
        <mc:AlternateContent>
          <mc:Choice Requires="wpg">
            <w:drawing>
              <wp:inline distT="0" distB="0" distL="0" distR="0" wp14:anchorId="260E7A51" wp14:editId="14772F46">
                <wp:extent cx="6191250" cy="390525"/>
                <wp:effectExtent l="0" t="0" r="0" b="0"/>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1250" cy="390525"/>
                          <a:chOff x="0" y="0"/>
                          <a:chExt cx="6191250" cy="390525"/>
                        </a:xfrm>
                      </wpg:grpSpPr>
                      <wps:wsp>
                        <wps:cNvPr id="75" name="Graphic 75"/>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wpg:wgp>
                  </a:graphicData>
                </a:graphic>
              </wp:inline>
            </w:drawing>
          </mc:Choice>
          <mc:Fallback>
            <w:pict>
              <v:group w14:anchorId="531AD26D" id="Group 74" o:spid="_x0000_s1026" style="width:487.5pt;height:30.75pt;mso-position-horizontal-relative:char;mso-position-vertical-relative:line" coordsize="61912,3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nmwIAADAHAAAOAAAAZHJzL2Uyb0RvYy54bWykVW1v2yAQ/j5p/wHxfbGTKm1ixam6do0m&#10;VV2lZtpngvGLhoEBiZN/vwMbx2vUTmllyT7g4bh77jm8uN7XHO2YNpUUKR6PYoyYoDKrRJHin+v7&#10;LzOMjCUiI1wKluIDM/h6+fnTolEJm8hS8oxpBE6ESRqV4tJalUSRoSWriRlJxQQs5lLXxMJQF1Gm&#10;SQPeax5N4vgyaqTOlJaUGQOzd+0iXnr/ec6o/ZHnhlnEUwyxWf/W/r1x72i5IEmhiSor2oVB3hFF&#10;TSoBh/au7oglaKurE1d1RbU0MrcjKutI5nlFmc8BshnHL7JZablVPpciaQrV0wTUvuDp3W7p426l&#10;1bN60m30YD5I+tsAL1GjimS47sbFEbzPde02QRJo7xk99IyyvUUUJi/H8/FkCsRTWLuYx9PJtKWc&#10;llCXk220/Pb2xogk7bE+uD6YRoF6zJEg8zGCnkuimOfdOAKeNKqyFF9NMRKkBhGvOr3ADPDkDgeU&#10;47AbmY7ODzDUJ0oSujV2xaTnmuwejG01mwWLlMGiexFMDcp3mude8xYj0LzGCDS/aQugiHX7XAGd&#10;iZpBscq+Vm65lju2lh5oXcX6moZyQ6xHDBf/YmfjK6g5GmADInxV5/WInHcyAccBFL6n4IvZOI59&#10;I78K9/5cCOdgzwriLPDbwUKz/JesFnPsp1czH9bqTPjLKCmXhoH04CwnmN7wIoLJoUyN5FV2X3Hu&#10;VGN0sbnlGu0I6PHrjXucBGHLAAb9bJK2b5y1kdkB2q6BRkux+bMlmmHEvwtobHeLB0MHYxMMbfmt&#10;9He9F6w2dr3/RbRCCswUW7iYHmXob5KEfnJJ9Vi3U8ibrZV55ZrNx9ZG1A3grvGWv5Z9Kt0vxN37&#10;w7FHHX90y78AAAD//wMAUEsDBBQABgAIAAAAIQAYif0a2wAAAAQBAAAPAAAAZHJzL2Rvd25yZXYu&#10;eG1sTI9BS8NAEIXvgv9hGcGb3URJtTGbUop6KoKtIL1Nk2kSmp0N2W2S/ntHL3p58HjDe99ky8m2&#10;aqDeN44NxLMIFHHhyoYrA5+717snUD4gl9g6JgMX8rDMr68yTEs38gcN21ApKWGfooE6hC7V2hc1&#10;WfQz1xFLdnS9xSC2r3TZ4yjlttX3UTTXFhuWhRo7WtdUnLZna+BtxHH1EL8Mm9NxfdnvkvevTUzG&#10;3N5Mq2dQgabwdww/+IIOuTAd3JlLr1oD8kj4VckWj4nYg4F5nIDOM/0fPv8GAAD//wMAUEsBAi0A&#10;FAAGAAgAAAAhALaDOJL+AAAA4QEAABMAAAAAAAAAAAAAAAAAAAAAAFtDb250ZW50X1R5cGVzXS54&#10;bWxQSwECLQAUAAYACAAAACEAOP0h/9YAAACUAQAACwAAAAAAAAAAAAAAAAAvAQAAX3JlbHMvLnJl&#10;bHNQSwECLQAUAAYACAAAACEAN9P/55sCAAAwBwAADgAAAAAAAAAAAAAAAAAuAgAAZHJzL2Uyb0Rv&#10;Yy54bWxQSwECLQAUAAYACAAAACEAGIn9GtsAAAAEAQAADwAAAAAAAAAAAAAAAAD1BAAAZHJzL2Rv&#10;d25yZXYueG1sUEsFBgAAAAAEAAQA8wAAAP0FAAAAAA==&#10;">
                <v:shape id="Graphic 75" o:spid="_x0000_s1027" style="position:absolute;width:61912;height:3905;visibility:visible;mso-wrap-style:square;v-text-anchor:top" coordsize="6191250,39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ZH8xAAAANsAAAAPAAAAZHJzL2Rvd25yZXYueG1sRI9Ra8Iw&#10;FIXfB/sP4Qp709SBm1SjyGBjjDm0bj5fmru0rLkpSWrrvzeCsMfDOec7nOV6sI04kQ+1YwXTSQaC&#10;uHS6ZqPg+/A6noMIEVlj45gUnCnAenV/t8Rcu573dCqiEQnCIUcFVYxtLmUoK7IYJq4lTt6v8xZj&#10;kt5I7bFPcNvIxyx7khZrTgsVtvRSUflXdFbB8Db1XbH96YyvZ+1nf/zamY9OqYfRsFmAiDTE//Ct&#10;/a4VPM/g+iX9ALm6AAAA//8DAFBLAQItABQABgAIAAAAIQDb4fbL7gAAAIUBAAATAAAAAAAAAAAA&#10;AAAAAAAAAABbQ29udGVudF9UeXBlc10ueG1sUEsBAi0AFAAGAAgAAAAhAFr0LFu/AAAAFQEAAAsA&#10;AAAAAAAAAAAAAAAAHwEAAF9yZWxzLy5yZWxzUEsBAi0AFAAGAAgAAAAhAKwFkfzEAAAA2wAAAA8A&#10;AAAAAAAAAAAAAAAABwIAAGRycy9kb3ducmV2LnhtbFBLBQYAAAAAAwADALcAAAD4AgAAAAA=&#10;" path="m6191250,r-9525,l6181725,9525r,371475l9525,381000r,-371475l6181725,9525r,-9525l,,,390525r6191250,l6191250,xe" fillcolor="#bababa" stroked="f">
                  <v:path arrowok="t"/>
                </v:shape>
                <w10:anchorlock/>
              </v:group>
            </w:pict>
          </mc:Fallback>
        </mc:AlternateContent>
      </w:r>
    </w:p>
    <w:p w14:paraId="09E14A88" w14:textId="77777777" w:rsidR="00024E26" w:rsidRDefault="00024E26">
      <w:pPr>
        <w:pStyle w:val="Textoindependiente"/>
        <w:spacing w:before="147"/>
        <w:rPr>
          <w:i/>
        </w:rPr>
      </w:pPr>
    </w:p>
    <w:p w14:paraId="22F4FC6E" w14:textId="77777777" w:rsidR="00024E26" w:rsidRPr="005A7C10" w:rsidRDefault="00000000">
      <w:pPr>
        <w:pStyle w:val="Textoindependiente"/>
        <w:spacing w:line="352" w:lineRule="auto"/>
        <w:ind w:left="245" w:right="224"/>
        <w:rPr>
          <w:lang w:val="es-ES"/>
        </w:rPr>
      </w:pPr>
      <w:r w:rsidRPr="005A7C10">
        <w:rPr>
          <w:spacing w:val="-2"/>
          <w:lang w:val="es-ES"/>
        </w:rPr>
        <w:t xml:space="preserve">Digitalización (por ejemplo, uso de tecnología digital, incluidas las comunicaciones electrónicas y </w:t>
      </w:r>
      <w:r w:rsidRPr="005A7C10">
        <w:rPr>
          <w:lang w:val="es-ES"/>
        </w:rPr>
        <w:t>las herramientas de inteligencia artificial, en el sistema judicial y con los usuarios de los tribunales, normas procesales, acceso a las sentencias en línea)</w:t>
      </w:r>
    </w:p>
    <w:p w14:paraId="2B84C434" w14:textId="77777777" w:rsidR="00024E26" w:rsidRDefault="00000000">
      <w:pPr>
        <w:spacing w:line="218" w:lineRule="exact"/>
        <w:ind w:left="395"/>
        <w:rPr>
          <w:i/>
          <w:color w:val="666666"/>
          <w:spacing w:val="-2"/>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4AF34478" w14:textId="77777777" w:rsidR="005A7C10" w:rsidRPr="005A7C10" w:rsidRDefault="005A7C10" w:rsidP="005A7C10">
      <w:pPr>
        <w:pStyle w:val="Prrafodelista"/>
        <w:widowControl/>
        <w:numPr>
          <w:ilvl w:val="0"/>
          <w:numId w:val="13"/>
        </w:numPr>
        <w:autoSpaceDE/>
        <w:autoSpaceDN/>
        <w:spacing w:after="160" w:line="259" w:lineRule="auto"/>
        <w:contextualSpacing/>
        <w:jc w:val="both"/>
        <w:rPr>
          <w:highlight w:val="yellow"/>
        </w:rPr>
      </w:pPr>
      <w:r w:rsidRPr="005A7C10">
        <w:rPr>
          <w:i/>
          <w:iCs/>
          <w:highlight w:val="yellow"/>
          <w:lang w:val="es-ES"/>
        </w:rPr>
        <w:t>La abogacía reivindica una revolución digital responsable con más formación para aprovechar la IA sin perder garantías</w:t>
      </w:r>
      <w:r w:rsidRPr="005A7C10">
        <w:rPr>
          <w:highlight w:val="yellow"/>
          <w:lang w:val="es-ES"/>
        </w:rPr>
        <w:t xml:space="preserve">. </w:t>
      </w:r>
      <w:hyperlink r:id="rId33" w:history="1">
        <w:r w:rsidRPr="005A7C10">
          <w:rPr>
            <w:rStyle w:val="Hipervnculo"/>
            <w:highlight w:val="yellow"/>
          </w:rPr>
          <w:t>https://www.abogacia.es/actualidad/noticias/la-abogacia-reivindica-una-revolucion-digital-responsable-con-mas-formacion-para-aprovechar-la-ia-sin-perder-garantias/</w:t>
        </w:r>
      </w:hyperlink>
    </w:p>
    <w:p w14:paraId="71968070" w14:textId="77777777" w:rsidR="005A7C10" w:rsidRPr="005A7C10" w:rsidRDefault="005A7C10" w:rsidP="005A7C10">
      <w:pPr>
        <w:pStyle w:val="Prrafodelista"/>
        <w:jc w:val="both"/>
        <w:rPr>
          <w:highlight w:val="yellow"/>
        </w:rPr>
      </w:pPr>
    </w:p>
    <w:p w14:paraId="35CA4884" w14:textId="77777777" w:rsidR="005A7C10" w:rsidRPr="005A7C10" w:rsidRDefault="005A7C10" w:rsidP="005A7C10">
      <w:pPr>
        <w:pStyle w:val="Prrafodelista"/>
        <w:widowControl/>
        <w:numPr>
          <w:ilvl w:val="0"/>
          <w:numId w:val="13"/>
        </w:numPr>
        <w:autoSpaceDE/>
        <w:autoSpaceDN/>
        <w:spacing w:after="160" w:line="259" w:lineRule="auto"/>
        <w:contextualSpacing/>
        <w:jc w:val="both"/>
        <w:rPr>
          <w:highlight w:val="yellow"/>
          <w:lang w:val="es-ES"/>
        </w:rPr>
      </w:pPr>
      <w:r w:rsidRPr="005A7C10">
        <w:rPr>
          <w:i/>
          <w:iCs/>
          <w:highlight w:val="yellow"/>
          <w:lang w:val="es-ES"/>
        </w:rPr>
        <w:t>La Abogacía Española se volcará en 2026 en la formación y los servicios tecnológicos al colegiado.</w:t>
      </w:r>
      <w:r w:rsidRPr="005A7C10">
        <w:rPr>
          <w:highlight w:val="yellow"/>
          <w:lang w:val="es-ES"/>
        </w:rPr>
        <w:t xml:space="preserve"> </w:t>
      </w:r>
      <w:hyperlink r:id="rId34" w:history="1">
        <w:r w:rsidRPr="005A7C10">
          <w:rPr>
            <w:rStyle w:val="Hipervnculo"/>
            <w:highlight w:val="yellow"/>
            <w:lang w:val="es-ES"/>
          </w:rPr>
          <w:t>https://www.abogacia.es/actualidad/noticias/la-abogacia-espanola-se-volcara-en-2026-en-la-formacion-y-los-servicios-tecnologicos-al-colegiado/</w:t>
        </w:r>
      </w:hyperlink>
      <w:r w:rsidRPr="005A7C10">
        <w:rPr>
          <w:highlight w:val="yellow"/>
          <w:lang w:val="es-ES"/>
        </w:rPr>
        <w:t xml:space="preserve"> En 2026, el Consejo ahondará en su apuesta por los servicios tecnológicos, consolidando herramientas indispensables para los colegiados, como ACA Plus en la Nube, y el nuevo Sistema de Gestión Modular de la Abogacía, llamado a renovar y sustituir a SIG.</w:t>
      </w:r>
    </w:p>
    <w:p w14:paraId="2C4CC54C" w14:textId="77777777" w:rsidR="005A7C10" w:rsidRPr="005A7C10" w:rsidRDefault="005A7C10" w:rsidP="005A7C10">
      <w:pPr>
        <w:pStyle w:val="Prrafodelista"/>
        <w:jc w:val="both"/>
        <w:rPr>
          <w:highlight w:val="yellow"/>
          <w:lang w:val="es-ES"/>
        </w:rPr>
      </w:pPr>
    </w:p>
    <w:p w14:paraId="1839CA2E" w14:textId="77777777" w:rsidR="005A7C10" w:rsidRPr="005A7C10" w:rsidRDefault="005A7C10" w:rsidP="005A7C10">
      <w:pPr>
        <w:pStyle w:val="Prrafodelista"/>
        <w:widowControl/>
        <w:numPr>
          <w:ilvl w:val="0"/>
          <w:numId w:val="13"/>
        </w:numPr>
        <w:autoSpaceDE/>
        <w:autoSpaceDN/>
        <w:spacing w:after="160" w:line="259" w:lineRule="auto"/>
        <w:contextualSpacing/>
        <w:jc w:val="both"/>
        <w:rPr>
          <w:i/>
          <w:iCs/>
          <w:highlight w:val="yellow"/>
          <w:lang w:val="es-ES"/>
        </w:rPr>
      </w:pPr>
      <w:r w:rsidRPr="005A7C10">
        <w:rPr>
          <w:i/>
          <w:iCs/>
          <w:highlight w:val="yellow"/>
          <w:lang w:val="es-ES"/>
        </w:rPr>
        <w:t>“El reto para el abogado no es solo aportar la prueba digital, sino demostrar que es fiable y lícita”</w:t>
      </w:r>
      <w:r w:rsidRPr="005A7C10">
        <w:rPr>
          <w:highlight w:val="yellow"/>
          <w:lang w:val="es-ES"/>
        </w:rPr>
        <w:t xml:space="preserve"> </w:t>
      </w:r>
      <w:hyperlink r:id="rId35" w:history="1">
        <w:r w:rsidRPr="005A7C10">
          <w:rPr>
            <w:rStyle w:val="Hipervnculo"/>
            <w:highlight w:val="yellow"/>
            <w:lang w:val="es-ES"/>
          </w:rPr>
          <w:t>https://www.abogacia.es/actualidad/noticias/joaquin-delgado-el-reto-para-el-abogado-no-es-solo-aportar-la-prueba-digital-sino-demostrar-que-es-fiable-y-licita/</w:t>
        </w:r>
      </w:hyperlink>
      <w:r w:rsidRPr="005A7C10">
        <w:rPr>
          <w:highlight w:val="yellow"/>
          <w:lang w:val="es-ES"/>
        </w:rPr>
        <w:t>. La prueba digital se ha convertido en el centro de cualquier procedimiento; debe cumplir los requisitos de validez.</w:t>
      </w:r>
      <w:r w:rsidRPr="005A7C10">
        <w:rPr>
          <w:i/>
          <w:iCs/>
          <w:highlight w:val="yellow"/>
          <w:lang w:val="es-ES"/>
        </w:rPr>
        <w:t xml:space="preserve"> </w:t>
      </w:r>
    </w:p>
    <w:p w14:paraId="7C0E0AD1" w14:textId="77777777" w:rsidR="005A7C10" w:rsidRPr="005A7C10" w:rsidRDefault="005A7C10" w:rsidP="005A7C10">
      <w:pPr>
        <w:pStyle w:val="Prrafodelista"/>
        <w:jc w:val="both"/>
        <w:rPr>
          <w:i/>
          <w:iCs/>
          <w:highlight w:val="yellow"/>
          <w:lang w:val="es-ES"/>
        </w:rPr>
      </w:pPr>
    </w:p>
    <w:p w14:paraId="41C1F866" w14:textId="77777777" w:rsidR="005A7C10" w:rsidRPr="005A7C10" w:rsidRDefault="005A7C10" w:rsidP="005A7C10">
      <w:pPr>
        <w:pStyle w:val="Prrafodelista"/>
        <w:widowControl/>
        <w:numPr>
          <w:ilvl w:val="0"/>
          <w:numId w:val="13"/>
        </w:numPr>
        <w:autoSpaceDE/>
        <w:autoSpaceDN/>
        <w:spacing w:after="160" w:line="259" w:lineRule="auto"/>
        <w:contextualSpacing/>
        <w:jc w:val="both"/>
        <w:rPr>
          <w:highlight w:val="yellow"/>
          <w:lang w:val="es-ES"/>
        </w:rPr>
      </w:pPr>
      <w:r w:rsidRPr="005A7C10">
        <w:rPr>
          <w:i/>
          <w:iCs/>
          <w:highlight w:val="yellow"/>
          <w:lang w:val="es-ES"/>
        </w:rPr>
        <w:t>La Gira de Derechos Digitales en Zaragoza reclama la aplicación de los derechos humanos en el entorno digital.</w:t>
      </w:r>
      <w:r w:rsidRPr="005A7C10">
        <w:rPr>
          <w:highlight w:val="yellow"/>
          <w:lang w:val="es-ES"/>
        </w:rPr>
        <w:t xml:space="preserve"> </w:t>
      </w:r>
      <w:hyperlink r:id="rId36" w:history="1">
        <w:r w:rsidRPr="005A7C10">
          <w:rPr>
            <w:rStyle w:val="Hipervnculo"/>
            <w:highlight w:val="yellow"/>
          </w:rPr>
          <w:t>https://www.abogacia.es/actualidad/noticias/la-gira-de-derechos-digitales-en-zaragoza-reclama-la-aplicacion-de-los-derechos-humanos-en-el-entorno-digital/</w:t>
        </w:r>
      </w:hyperlink>
      <w:r w:rsidRPr="005A7C10">
        <w:rPr>
          <w:highlight w:val="yellow"/>
        </w:rPr>
        <w:t xml:space="preserve">. </w:t>
      </w:r>
      <w:r w:rsidRPr="005A7C10">
        <w:rPr>
          <w:highlight w:val="yellow"/>
          <w:lang w:val="es-ES"/>
        </w:rPr>
        <w:t>Necesaria la adaptación de los derechos humanos al entorno digital para garantizar la correcta aplicación de la Carta de los derechos digitales de la UE</w:t>
      </w:r>
    </w:p>
    <w:p w14:paraId="4963404A" w14:textId="77777777" w:rsidR="005A7C10" w:rsidRPr="005A7C10" w:rsidRDefault="005A7C10" w:rsidP="005A7C10">
      <w:pPr>
        <w:pStyle w:val="Prrafodelista"/>
        <w:jc w:val="both"/>
        <w:rPr>
          <w:highlight w:val="yellow"/>
          <w:lang w:val="es-ES"/>
        </w:rPr>
      </w:pPr>
    </w:p>
    <w:p w14:paraId="7FA62B8C" w14:textId="7C150F4B" w:rsidR="005A7C10" w:rsidRPr="005A7C10" w:rsidRDefault="005A7C10" w:rsidP="005A7C10">
      <w:pPr>
        <w:pStyle w:val="Prrafodelista"/>
        <w:widowControl/>
        <w:numPr>
          <w:ilvl w:val="0"/>
          <w:numId w:val="13"/>
        </w:numPr>
        <w:autoSpaceDE/>
        <w:autoSpaceDN/>
        <w:spacing w:after="160" w:line="259" w:lineRule="auto"/>
        <w:contextualSpacing/>
        <w:jc w:val="both"/>
        <w:rPr>
          <w:highlight w:val="yellow"/>
          <w:lang w:val="es-ES"/>
        </w:rPr>
      </w:pPr>
      <w:r w:rsidRPr="005A7C10">
        <w:rPr>
          <w:highlight w:val="yellow"/>
          <w:lang w:val="es-ES"/>
        </w:rPr>
        <w:t xml:space="preserve">La Abogacía crea un Consejo Asesor sobre Innovación, Abogacía y Justicia Digital. </w:t>
      </w:r>
      <w:hyperlink r:id="rId37" w:history="1">
        <w:r w:rsidRPr="005A7C10">
          <w:rPr>
            <w:rStyle w:val="Hipervnculo"/>
            <w:highlight w:val="yellow"/>
          </w:rPr>
          <w:t>https://www.abogacia.es/actualidad/noticias/la-abogacia-crea-un-consejo-asesor-sobre-innovacion-abogacia-y-justicia-digital/</w:t>
        </w:r>
      </w:hyperlink>
      <w:r w:rsidRPr="005A7C10">
        <w:rPr>
          <w:highlight w:val="yellow"/>
        </w:rPr>
        <w:t xml:space="preserve">. </w:t>
      </w:r>
      <w:r w:rsidRPr="005A7C10">
        <w:rPr>
          <w:highlight w:val="yellow"/>
          <w:lang w:val="es-ES"/>
        </w:rPr>
        <w:t>De cara a liderar la digitalización de la Justicia y analizar los cambios tecnológicos que se están produciendo.</w:t>
      </w:r>
      <w:r w:rsidR="00054849">
        <w:rPr>
          <w:highlight w:val="yellow"/>
          <w:lang w:val="es-ES"/>
        </w:rPr>
        <w:t xml:space="preserve"> El Consejo Asesor está elaborando su Plan estratégico.</w:t>
      </w:r>
    </w:p>
    <w:p w14:paraId="2944AED1" w14:textId="77777777" w:rsidR="005A7C10" w:rsidRPr="005A7C10" w:rsidRDefault="005A7C10">
      <w:pPr>
        <w:spacing w:line="218" w:lineRule="exact"/>
        <w:ind w:left="395"/>
        <w:rPr>
          <w:i/>
          <w:sz w:val="19"/>
          <w:lang w:val="es-ES"/>
        </w:rPr>
      </w:pPr>
    </w:p>
    <w:p w14:paraId="1F67DA3B"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02688" behindDoc="1" locked="0" layoutInCell="1" allowOverlap="1" wp14:anchorId="3B5D4C99" wp14:editId="05505DF5">
                <wp:simplePos x="0" y="0"/>
                <wp:positionH relativeFrom="page">
                  <wp:posOffset>885825</wp:posOffset>
                </wp:positionH>
                <wp:positionV relativeFrom="paragraph">
                  <wp:posOffset>53597</wp:posOffset>
                </wp:positionV>
                <wp:extent cx="6191250" cy="390525"/>
                <wp:effectExtent l="0" t="0" r="0" b="0"/>
                <wp:wrapTopAndBottom/>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7EA146F7" id="Graphic 76" o:spid="_x0000_s1026" style="position:absolute;margin-left:69.75pt;margin-top:4.2pt;width:487.5pt;height:30.75pt;z-index:-1571379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6E2BCD04" w14:textId="77777777" w:rsidR="00024E26" w:rsidRPr="005A7C10" w:rsidRDefault="00024E26">
      <w:pPr>
        <w:pStyle w:val="Textoindependiente"/>
        <w:spacing w:before="111"/>
        <w:rPr>
          <w:i/>
          <w:sz w:val="19"/>
          <w:lang w:val="es-ES"/>
        </w:rPr>
      </w:pPr>
    </w:p>
    <w:p w14:paraId="21650C83" w14:textId="77777777" w:rsidR="00024E26" w:rsidRPr="005A7C10" w:rsidRDefault="00000000">
      <w:pPr>
        <w:pStyle w:val="Textoindependiente"/>
        <w:spacing w:before="1" w:line="352" w:lineRule="auto"/>
        <w:ind w:left="245"/>
        <w:rPr>
          <w:lang w:val="es-ES"/>
        </w:rPr>
      </w:pPr>
      <w:r w:rsidRPr="005A7C10">
        <w:rPr>
          <w:lang w:val="es-ES"/>
        </w:rPr>
        <w:t xml:space="preserve">Uso de herramientas y normas de evaluación (por ejemplo, sistemas de TIC, incluidos </w:t>
      </w:r>
      <w:r w:rsidRPr="005A7C10">
        <w:rPr>
          <w:spacing w:val="-2"/>
          <w:lang w:val="es-ES"/>
        </w:rPr>
        <w:t>los sistemas</w:t>
      </w:r>
      <w:r w:rsidRPr="005A7C10">
        <w:rPr>
          <w:lang w:val="es-ES"/>
        </w:rPr>
        <w:t xml:space="preserve"> basados en la inteligencia artificial</w:t>
      </w:r>
      <w:r w:rsidRPr="005A7C10">
        <w:rPr>
          <w:spacing w:val="-2"/>
          <w:lang w:val="es-ES"/>
        </w:rPr>
        <w:t xml:space="preserve">, para la gestión de casos, las estadísticas judiciales y su transparencia, el seguimiento, </w:t>
      </w:r>
      <w:r w:rsidRPr="005A7C10">
        <w:rPr>
          <w:lang w:val="es-ES"/>
        </w:rPr>
        <w:t>la evaluación y las encuestas entre los usuarios de los tribunales o los profesionales del Derecho)</w:t>
      </w:r>
    </w:p>
    <w:p w14:paraId="3C9DD362" w14:textId="77777777" w:rsidR="00024E26" w:rsidRPr="005A7C10" w:rsidRDefault="00000000">
      <w:pPr>
        <w:spacing w:line="218" w:lineRule="exact"/>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DC32F9F"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03200" behindDoc="1" locked="0" layoutInCell="1" allowOverlap="1" wp14:anchorId="77312158" wp14:editId="32D926A7">
                <wp:simplePos x="0" y="0"/>
                <wp:positionH relativeFrom="page">
                  <wp:posOffset>885825</wp:posOffset>
                </wp:positionH>
                <wp:positionV relativeFrom="paragraph">
                  <wp:posOffset>53338</wp:posOffset>
                </wp:positionV>
                <wp:extent cx="6191250" cy="390525"/>
                <wp:effectExtent l="0" t="0" r="0" b="0"/>
                <wp:wrapTopAndBottom/>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7B96D330" id="Graphic 77" o:spid="_x0000_s1026" style="position:absolute;margin-left:69.75pt;margin-top:4.2pt;width:487.5pt;height:30.75pt;z-index:-1571328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71E580DF" w14:textId="77777777" w:rsidR="003043F7" w:rsidRPr="003043F7" w:rsidRDefault="003043F7" w:rsidP="003043F7">
      <w:pPr>
        <w:pStyle w:val="Textoindependiente"/>
        <w:spacing w:before="115"/>
        <w:rPr>
          <w:iCs/>
          <w:sz w:val="22"/>
          <w:szCs w:val="22"/>
          <w:highlight w:val="yellow"/>
          <w:lang w:val="es-ES"/>
        </w:rPr>
      </w:pPr>
      <w:r w:rsidRPr="003043F7">
        <w:rPr>
          <w:iCs/>
          <w:sz w:val="22"/>
          <w:szCs w:val="22"/>
          <w:highlight w:val="yellow"/>
          <w:lang w:val="es-ES"/>
        </w:rPr>
        <w:t xml:space="preserve">En la </w:t>
      </w:r>
      <w:proofErr w:type="spellStart"/>
      <w:r w:rsidRPr="003043F7">
        <w:rPr>
          <w:iCs/>
          <w:sz w:val="22"/>
          <w:szCs w:val="22"/>
          <w:highlight w:val="yellow"/>
          <w:lang w:val="es-ES"/>
        </w:rPr>
        <w:t>inaguración</w:t>
      </w:r>
      <w:proofErr w:type="spellEnd"/>
      <w:r w:rsidRPr="003043F7">
        <w:rPr>
          <w:iCs/>
          <w:sz w:val="22"/>
          <w:szCs w:val="22"/>
          <w:highlight w:val="yellow"/>
          <w:lang w:val="es-ES"/>
        </w:rPr>
        <w:t xml:space="preserve"> del V Congreso sobre Derecho Mercantil y Concursal </w:t>
      </w:r>
      <w:proofErr w:type="gramStart"/>
      <w:r w:rsidRPr="003043F7">
        <w:rPr>
          <w:iCs/>
          <w:sz w:val="22"/>
          <w:szCs w:val="22"/>
          <w:highlight w:val="yellow"/>
          <w:lang w:val="es-ES"/>
        </w:rPr>
        <w:t>el  presidente</w:t>
      </w:r>
      <w:proofErr w:type="gramEnd"/>
      <w:r w:rsidRPr="003043F7">
        <w:rPr>
          <w:iCs/>
          <w:sz w:val="22"/>
          <w:szCs w:val="22"/>
          <w:highlight w:val="yellow"/>
          <w:lang w:val="es-ES"/>
        </w:rPr>
        <w:t xml:space="preserve"> de la Abogacía Salvador González ha pedido control y transparencia en el nombramiento de administradores concursales para que el Registro Público Concursal sea “transparente, ágil y fiable”.</w:t>
      </w:r>
    </w:p>
    <w:p w14:paraId="0C8DCDD9" w14:textId="77777777" w:rsidR="003043F7" w:rsidRPr="003043F7" w:rsidRDefault="003043F7" w:rsidP="005F3CD3">
      <w:pPr>
        <w:pStyle w:val="Textoindependiente"/>
        <w:spacing w:before="115"/>
        <w:jc w:val="both"/>
        <w:rPr>
          <w:iCs/>
          <w:sz w:val="22"/>
          <w:szCs w:val="22"/>
          <w:highlight w:val="yellow"/>
          <w:lang w:val="es-ES"/>
        </w:rPr>
      </w:pPr>
      <w:r w:rsidRPr="003043F7">
        <w:rPr>
          <w:iCs/>
          <w:sz w:val="22"/>
          <w:szCs w:val="22"/>
          <w:highlight w:val="yellow"/>
          <w:lang w:val="es-ES"/>
        </w:rPr>
        <w:lastRenderedPageBreak/>
        <w:t>“Defendemos que el sistema de designaciones se organice con un turno corrido provincial, para evitar desigualdades y garantizar la eficiencia en el reparto de cargas de trabajo; que se clarifique la responsabilidad en el pago de los honorarios registrales, para que no recaiga indebidamente sobre la administración concursal”, afirmó González en la inauguración del V Congreso Mercantil y Concursal Ciudad de Toledo.</w:t>
      </w:r>
    </w:p>
    <w:p w14:paraId="371EAF10" w14:textId="77777777" w:rsidR="003043F7" w:rsidRPr="003043F7" w:rsidRDefault="003043F7" w:rsidP="005F3CD3">
      <w:pPr>
        <w:pStyle w:val="Textoindependiente"/>
        <w:spacing w:before="115"/>
        <w:jc w:val="both"/>
        <w:rPr>
          <w:iCs/>
          <w:sz w:val="22"/>
          <w:szCs w:val="22"/>
          <w:highlight w:val="yellow"/>
          <w:lang w:val="es-ES"/>
        </w:rPr>
      </w:pPr>
      <w:r w:rsidRPr="003043F7">
        <w:rPr>
          <w:iCs/>
          <w:sz w:val="22"/>
          <w:szCs w:val="22"/>
          <w:highlight w:val="yellow"/>
          <w:lang w:val="es-ES"/>
        </w:rPr>
        <w:t>González explicó que estas propuestas forman parte de las observaciones formuladas por la Abogacía, a través de su subcomisión de Derecho Mercantil y Concursal, al Proyecto de Real Decreto por el que se desarrolla el Registro Público Concursal: “Estas propuestas buscan asegurar un Registro transparente, ágil y fiable, que ofrezca información completa sobre los profesionales inscritos, facilite la designación objetiva y fortalezca la confianza en el sistema”</w:t>
      </w:r>
    </w:p>
    <w:p w14:paraId="2F2EB941" w14:textId="77777777" w:rsidR="003043F7" w:rsidRPr="003043F7" w:rsidRDefault="003043F7" w:rsidP="005F3CD3">
      <w:pPr>
        <w:pStyle w:val="Textoindependiente"/>
        <w:spacing w:before="115"/>
        <w:jc w:val="both"/>
        <w:rPr>
          <w:iCs/>
          <w:sz w:val="22"/>
          <w:szCs w:val="22"/>
          <w:highlight w:val="yellow"/>
          <w:lang w:val="es-ES"/>
        </w:rPr>
      </w:pPr>
      <w:r w:rsidRPr="003043F7">
        <w:rPr>
          <w:iCs/>
          <w:sz w:val="22"/>
          <w:szCs w:val="22"/>
          <w:highlight w:val="yellow"/>
          <w:lang w:val="es-ES"/>
        </w:rPr>
        <w:t>La Abogacía también ha hecho observaciones al Proyecto de Real Decreto por el que se aprueba el Reglamento de Estadística Concursal, como “la necesidad de medir aspectos tan relevantes como la tasa de recuperación de créditos, el coste medio de los procedimientos, la eficacia de los planes de reestructuración, el impacto de la segunda oportunidad en emprendedores o la incidencia de factores de género y discapacidad en los concursos”, señaló González.</w:t>
      </w:r>
    </w:p>
    <w:p w14:paraId="2E85AE2F" w14:textId="77777777" w:rsidR="003043F7" w:rsidRPr="003043F7" w:rsidRDefault="003043F7" w:rsidP="005F3CD3">
      <w:pPr>
        <w:pStyle w:val="Textoindependiente"/>
        <w:spacing w:before="115"/>
        <w:jc w:val="both"/>
        <w:rPr>
          <w:iCs/>
          <w:sz w:val="22"/>
          <w:szCs w:val="22"/>
          <w:highlight w:val="yellow"/>
          <w:lang w:val="es-ES"/>
        </w:rPr>
      </w:pPr>
      <w:r w:rsidRPr="003043F7">
        <w:rPr>
          <w:iCs/>
          <w:sz w:val="22"/>
          <w:szCs w:val="22"/>
          <w:highlight w:val="yellow"/>
          <w:lang w:val="es-ES"/>
        </w:rPr>
        <w:t>“También pedimos que España no espere hasta 2027 -cuando la Comisión Europea apruebe el modelo estadístico común- para comenzar a recopilar información, sino que adopte desde ahora un sistema propio y riguroso que permita detectar disfunciones y mejorar la práctica concursal”, afirmó el presidente de la Abogacía.</w:t>
      </w:r>
    </w:p>
    <w:p w14:paraId="5978040F" w14:textId="77777777" w:rsidR="003043F7" w:rsidRPr="003043F7" w:rsidRDefault="003043F7" w:rsidP="005F3CD3">
      <w:pPr>
        <w:pStyle w:val="Textoindependiente"/>
        <w:spacing w:before="115"/>
        <w:jc w:val="both"/>
        <w:rPr>
          <w:iCs/>
          <w:sz w:val="22"/>
          <w:szCs w:val="22"/>
          <w:highlight w:val="yellow"/>
          <w:lang w:val="es-ES"/>
        </w:rPr>
      </w:pPr>
      <w:r w:rsidRPr="003043F7">
        <w:rPr>
          <w:iCs/>
          <w:sz w:val="22"/>
          <w:szCs w:val="22"/>
          <w:highlight w:val="yellow"/>
          <w:lang w:val="es-ES"/>
        </w:rPr>
        <w:t>González subrayó asimismo en su intervención el compromiso de la abogacía “con el Estado de derecho, con la seguridad jurídica, y con la protección del tejido empresarial y económico de nuestro país”.</w:t>
      </w:r>
    </w:p>
    <w:p w14:paraId="6C409C1F" w14:textId="77777777" w:rsidR="003043F7" w:rsidRDefault="003043F7" w:rsidP="005F3CD3">
      <w:pPr>
        <w:pStyle w:val="Textoindependiente"/>
        <w:spacing w:before="115"/>
        <w:jc w:val="both"/>
        <w:rPr>
          <w:iCs/>
          <w:sz w:val="22"/>
          <w:szCs w:val="22"/>
          <w:lang w:val="es-ES"/>
        </w:rPr>
      </w:pPr>
      <w:r w:rsidRPr="003043F7">
        <w:rPr>
          <w:iCs/>
          <w:sz w:val="22"/>
          <w:szCs w:val="22"/>
          <w:highlight w:val="yellow"/>
          <w:lang w:val="es-ES"/>
        </w:rPr>
        <w:t xml:space="preserve">Y también puso en valor el papel de </w:t>
      </w:r>
      <w:proofErr w:type="gramStart"/>
      <w:r w:rsidRPr="003043F7">
        <w:rPr>
          <w:iCs/>
          <w:sz w:val="22"/>
          <w:szCs w:val="22"/>
          <w:highlight w:val="yellow"/>
          <w:lang w:val="es-ES"/>
        </w:rPr>
        <w:t>abogados y abogadas</w:t>
      </w:r>
      <w:proofErr w:type="gramEnd"/>
      <w:r w:rsidRPr="003043F7">
        <w:rPr>
          <w:iCs/>
          <w:sz w:val="22"/>
          <w:szCs w:val="22"/>
          <w:highlight w:val="yellow"/>
          <w:lang w:val="es-ES"/>
        </w:rPr>
        <w:t xml:space="preserve"> en el procedimiento concursal: “Somos nosotros quienes guiamos a empresas y particulares en momentos de gran incertidumbre jurídica y financiera. Somos indispensables en la prevención del conflicto y en la administración concursal. Y somos también -desde nuestra experiencia práctica- quienes detectamos las lagunas normativas, las incoherencias jurisprudenciales y las tensiones entre seguridad jurídica y economía de mercado”.</w:t>
      </w:r>
    </w:p>
    <w:p w14:paraId="5AFF5FC0" w14:textId="1ACBE248" w:rsidR="00C02CC1" w:rsidRPr="003043F7" w:rsidRDefault="00C02CC1" w:rsidP="005F3CD3">
      <w:pPr>
        <w:pStyle w:val="Textoindependiente"/>
        <w:spacing w:before="115"/>
        <w:jc w:val="both"/>
        <w:rPr>
          <w:iCs/>
          <w:sz w:val="22"/>
          <w:szCs w:val="22"/>
          <w:lang w:val="es-ES"/>
        </w:rPr>
      </w:pPr>
      <w:hyperlink r:id="rId38" w:history="1">
        <w:r w:rsidRPr="00C02CC1">
          <w:rPr>
            <w:rStyle w:val="Hipervnculo"/>
            <w:iCs/>
            <w:sz w:val="22"/>
            <w:szCs w:val="22"/>
            <w:lang w:val="es-ES"/>
          </w:rPr>
          <w:t>La Abogacía pide control y transparencia en el nombramiento de administradores concursales – Abogacía Española</w:t>
        </w:r>
      </w:hyperlink>
    </w:p>
    <w:p w14:paraId="14069226" w14:textId="77777777" w:rsidR="00024E26" w:rsidRPr="005A7C10" w:rsidRDefault="00024E26">
      <w:pPr>
        <w:pStyle w:val="Textoindependiente"/>
        <w:spacing w:before="111"/>
        <w:rPr>
          <w:i/>
          <w:sz w:val="19"/>
          <w:lang w:val="es-ES"/>
        </w:rPr>
      </w:pPr>
    </w:p>
    <w:p w14:paraId="5B2175CC" w14:textId="77777777" w:rsidR="00024E26" w:rsidRPr="005A7C10" w:rsidRDefault="00000000">
      <w:pPr>
        <w:pStyle w:val="Textoindependiente"/>
        <w:spacing w:before="1" w:line="352" w:lineRule="auto"/>
        <w:ind w:left="245" w:right="164"/>
        <w:rPr>
          <w:lang w:val="es-ES"/>
        </w:rPr>
      </w:pPr>
      <w:r w:rsidRPr="005A7C10">
        <w:rPr>
          <w:spacing w:val="-2"/>
          <w:lang w:val="es-ES"/>
        </w:rPr>
        <w:t xml:space="preserve">Distribución geográfica y número de tribunales/jurisdicciones («mapa judicial») y su </w:t>
      </w:r>
      <w:r w:rsidRPr="005A7C10">
        <w:rPr>
          <w:lang w:val="es-ES"/>
        </w:rPr>
        <w:t>especialización, en particular tribunales específicos o salas dentro de los tribunales para tratar casos de fraude y corrupción.</w:t>
      </w:r>
    </w:p>
    <w:p w14:paraId="2DB10394" w14:textId="77777777" w:rsidR="00024E26" w:rsidRPr="005A7C10" w:rsidRDefault="00000000">
      <w:pPr>
        <w:spacing w:line="218" w:lineRule="exact"/>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7AE310E4"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03712" behindDoc="1" locked="0" layoutInCell="1" allowOverlap="1" wp14:anchorId="4FACADE8" wp14:editId="2E9883EF">
                <wp:simplePos x="0" y="0"/>
                <wp:positionH relativeFrom="page">
                  <wp:posOffset>885825</wp:posOffset>
                </wp:positionH>
                <wp:positionV relativeFrom="paragraph">
                  <wp:posOffset>53465</wp:posOffset>
                </wp:positionV>
                <wp:extent cx="6191250" cy="390525"/>
                <wp:effectExtent l="0" t="0" r="0" b="0"/>
                <wp:wrapTopAndBottom/>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0DE33E39" id="Graphic 78" o:spid="_x0000_s1026" style="position:absolute;margin-left:69.75pt;margin-top:4.2pt;width:487.5pt;height:30.75pt;z-index:-1571276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740BE9A5" w14:textId="77777777" w:rsidR="00024E26" w:rsidRPr="005A7C10" w:rsidRDefault="00024E26">
      <w:pPr>
        <w:pStyle w:val="Textoindependiente"/>
        <w:spacing w:before="26"/>
        <w:rPr>
          <w:i/>
          <w:lang w:val="es-ES"/>
        </w:rPr>
      </w:pPr>
    </w:p>
    <w:p w14:paraId="080F51A9" w14:textId="77777777" w:rsidR="00024E26" w:rsidRPr="005A7C10" w:rsidRDefault="00000000">
      <w:pPr>
        <w:pStyle w:val="Textoindependiente"/>
        <w:spacing w:line="352" w:lineRule="auto"/>
        <w:ind w:left="245" w:right="164"/>
        <w:rPr>
          <w:lang w:val="es-ES"/>
        </w:rPr>
      </w:pPr>
      <w:r w:rsidRPr="005A7C10">
        <w:rPr>
          <w:b/>
          <w:i/>
          <w:lang w:val="es-ES"/>
        </w:rPr>
        <w:t xml:space="preserve">[relevancia para el mercado único] </w:t>
      </w:r>
      <w:r w:rsidRPr="005A7C10">
        <w:rPr>
          <w:lang w:val="es-ES"/>
        </w:rPr>
        <w:t xml:space="preserve">Especialización (de jueces/tribunales específicos/salas dentro de los tribunales) y formación del poder judicial para tratar casos comerciales, así como mecanismos alternativos de resolución de litigios y mediación en lo que respecta a </w:t>
      </w:r>
      <w:r w:rsidRPr="005A7C10">
        <w:rPr>
          <w:spacing w:val="-2"/>
          <w:lang w:val="es-ES"/>
        </w:rPr>
        <w:t>los casos</w:t>
      </w:r>
      <w:r w:rsidRPr="005A7C10">
        <w:rPr>
          <w:lang w:val="es-ES"/>
        </w:rPr>
        <w:t xml:space="preserve"> comerciales</w:t>
      </w:r>
      <w:r w:rsidRPr="005A7C10">
        <w:rPr>
          <w:spacing w:val="-2"/>
          <w:lang w:val="es-ES"/>
        </w:rPr>
        <w:t>.</w:t>
      </w:r>
    </w:p>
    <w:p w14:paraId="4EBC7777" w14:textId="77777777" w:rsidR="00024E26" w:rsidRDefault="00000000">
      <w:pPr>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2F3FFD7A" w14:textId="77777777" w:rsidR="00024E26" w:rsidRDefault="00000000">
      <w:pPr>
        <w:pStyle w:val="Textoindependiente"/>
        <w:spacing w:before="3"/>
        <w:rPr>
          <w:i/>
          <w:sz w:val="5"/>
        </w:rPr>
      </w:pPr>
      <w:r>
        <w:rPr>
          <w:i/>
          <w:noProof/>
          <w:sz w:val="5"/>
        </w:rPr>
        <mc:AlternateContent>
          <mc:Choice Requires="wps">
            <w:drawing>
              <wp:anchor distT="0" distB="0" distL="0" distR="0" simplePos="0" relativeHeight="487604224" behindDoc="1" locked="0" layoutInCell="1" allowOverlap="1" wp14:anchorId="2C0A3BD2" wp14:editId="1FA5B285">
                <wp:simplePos x="0" y="0"/>
                <wp:positionH relativeFrom="page">
                  <wp:posOffset>885825</wp:posOffset>
                </wp:positionH>
                <wp:positionV relativeFrom="paragraph">
                  <wp:posOffset>53758</wp:posOffset>
                </wp:positionV>
                <wp:extent cx="6191250" cy="390525"/>
                <wp:effectExtent l="0" t="0" r="0" b="0"/>
                <wp:wrapTopAndBottom/>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3D5476A" id="Graphic 79" o:spid="_x0000_s1026" style="position:absolute;margin-left:69.75pt;margin-top:4.25pt;width:487.5pt;height:30.75pt;z-index:-1571225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44EC04B7" w14:textId="77777777" w:rsidR="00024E26" w:rsidRDefault="00024E26">
      <w:pPr>
        <w:pStyle w:val="Textoindependiente"/>
        <w:spacing w:before="111"/>
        <w:rPr>
          <w:i/>
          <w:sz w:val="19"/>
        </w:rPr>
      </w:pPr>
    </w:p>
    <w:p w14:paraId="2D7DC0B1" w14:textId="77777777" w:rsidR="00024E26" w:rsidRDefault="00000000">
      <w:pPr>
        <w:pStyle w:val="Prrafodelista"/>
        <w:numPr>
          <w:ilvl w:val="1"/>
          <w:numId w:val="3"/>
        </w:numPr>
        <w:tabs>
          <w:tab w:val="left" w:pos="570"/>
        </w:tabs>
        <w:spacing w:before="1"/>
        <w:ind w:left="570" w:hanging="325"/>
        <w:rPr>
          <w:sz w:val="27"/>
        </w:rPr>
      </w:pPr>
      <w:proofErr w:type="spellStart"/>
      <w:r>
        <w:rPr>
          <w:spacing w:val="-2"/>
          <w:sz w:val="27"/>
        </w:rPr>
        <w:t>Eficiencia</w:t>
      </w:r>
      <w:proofErr w:type="spellEnd"/>
      <w:r>
        <w:rPr>
          <w:spacing w:val="-2"/>
          <w:sz w:val="27"/>
        </w:rPr>
        <w:t xml:space="preserve"> del </w:t>
      </w:r>
      <w:proofErr w:type="spellStart"/>
      <w:r>
        <w:rPr>
          <w:spacing w:val="-2"/>
          <w:sz w:val="27"/>
        </w:rPr>
        <w:t>sistema</w:t>
      </w:r>
      <w:proofErr w:type="spellEnd"/>
      <w:r>
        <w:rPr>
          <w:spacing w:val="-2"/>
          <w:sz w:val="27"/>
        </w:rPr>
        <w:t xml:space="preserve"> judicial</w:t>
      </w:r>
    </w:p>
    <w:p w14:paraId="4C560278" w14:textId="77777777" w:rsidR="00024E26" w:rsidRPr="005A7C10" w:rsidRDefault="00000000">
      <w:pPr>
        <w:spacing w:before="254" w:line="602" w:lineRule="auto"/>
        <w:ind w:left="245" w:right="224"/>
        <w:rPr>
          <w:i/>
          <w:sz w:val="16"/>
          <w:lang w:val="es-ES"/>
        </w:rPr>
      </w:pPr>
      <w:r w:rsidRPr="005A7C10">
        <w:rPr>
          <w:i/>
          <w:sz w:val="16"/>
          <w:lang w:val="es-ES"/>
        </w:rPr>
        <w:t xml:space="preserve">(En este apartado, no es necesario que facilite datos estadísticos, pero sí debe aportar información sobre el tipo de datos descritos en la </w:t>
      </w:r>
      <w:r w:rsidRPr="005A7C10">
        <w:rPr>
          <w:i/>
          <w:spacing w:val="-2"/>
          <w:sz w:val="16"/>
          <w:lang w:val="es-ES"/>
        </w:rPr>
        <w:t>introducción).</w:t>
      </w:r>
    </w:p>
    <w:p w14:paraId="1AA989F7" w14:textId="77777777" w:rsidR="00024E26" w:rsidRPr="005A7C10" w:rsidRDefault="00000000">
      <w:pPr>
        <w:pStyle w:val="Textoindependiente"/>
        <w:spacing w:before="198" w:line="352" w:lineRule="auto"/>
        <w:ind w:left="245" w:right="224"/>
        <w:rPr>
          <w:lang w:val="es-ES"/>
        </w:rPr>
      </w:pPr>
      <w:r w:rsidRPr="005A7C10">
        <w:rPr>
          <w:b/>
          <w:i/>
          <w:spacing w:val="-2"/>
          <w:lang w:val="es-ES"/>
        </w:rPr>
        <w:lastRenderedPageBreak/>
        <w:t xml:space="preserve">[Relevancia para el mercado único] </w:t>
      </w:r>
      <w:r w:rsidRPr="005A7C10">
        <w:rPr>
          <w:spacing w:val="-2"/>
          <w:lang w:val="es-ES"/>
        </w:rPr>
        <w:t xml:space="preserve">Avances relacionados con los esfuerzos por mejorar la eficiencia </w:t>
      </w:r>
      <w:r w:rsidRPr="005A7C10">
        <w:rPr>
          <w:lang w:val="es-ES"/>
        </w:rPr>
        <w:t>del sistema judicial (por ejemplo, en lo que respecta a la duración de los procedimientos, para hacer frente a los retrasos).</w:t>
      </w:r>
    </w:p>
    <w:p w14:paraId="751E906F" w14:textId="77777777" w:rsidR="00024E26" w:rsidRDefault="00000000">
      <w:pPr>
        <w:spacing w:before="1"/>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56979D00" w14:textId="77777777" w:rsidR="00024E26" w:rsidRDefault="00024E26">
      <w:pPr>
        <w:rPr>
          <w:i/>
          <w:sz w:val="19"/>
        </w:rPr>
      </w:pPr>
    </w:p>
    <w:p w14:paraId="116EFC8B" w14:textId="77777777" w:rsidR="005A7C10" w:rsidRPr="005A7C10" w:rsidRDefault="005A7C10" w:rsidP="005A7C10">
      <w:pPr>
        <w:pStyle w:val="Prrafodelista"/>
        <w:widowControl/>
        <w:numPr>
          <w:ilvl w:val="0"/>
          <w:numId w:val="15"/>
        </w:numPr>
        <w:autoSpaceDE/>
        <w:autoSpaceDN/>
        <w:spacing w:after="160" w:line="259" w:lineRule="auto"/>
        <w:contextualSpacing/>
        <w:jc w:val="both"/>
        <w:rPr>
          <w:highlight w:val="yellow"/>
          <w:lang w:val="es-ES"/>
        </w:rPr>
      </w:pPr>
      <w:r w:rsidRPr="005A7C10">
        <w:rPr>
          <w:i/>
          <w:iCs/>
          <w:highlight w:val="yellow"/>
          <w:lang w:val="es-ES"/>
        </w:rPr>
        <w:t xml:space="preserve">El presidente de la Abogacía se reúne con el presidente del TSJ y el fiscal superior de Justicia de Murcia para buscar soluciones a la situación de la Justicia en la región. </w:t>
      </w:r>
      <w:hyperlink r:id="rId39" w:history="1">
        <w:r w:rsidRPr="005A7C10">
          <w:rPr>
            <w:rStyle w:val="Hipervnculo"/>
            <w:highlight w:val="yellow"/>
          </w:rPr>
          <w:t>https://www.abogacia.es/actualidad/noticias/el-presidente-de-la-abogacia-se-reune-con-el-presidente-del-tsj-y-el-fiscal-superior-de-justicia-de-murcia-para-buscar-soluciones-a-la-situacion-de-la-justicia-en-la-region/</w:t>
        </w:r>
      </w:hyperlink>
      <w:r w:rsidRPr="005A7C10">
        <w:rPr>
          <w:highlight w:val="yellow"/>
        </w:rPr>
        <w:t xml:space="preserve">. </w:t>
      </w:r>
      <w:r w:rsidRPr="005A7C10">
        <w:rPr>
          <w:highlight w:val="yellow"/>
          <w:lang w:val="es-ES"/>
        </w:rPr>
        <w:t>Necesidad de adoptar medidas inmediatas para revertir el deterioro que se viene produciendo desde hace años en el funcionamiento de los diferentes órganos judiciales murcianos, donde han aumentado considerablemente los retrasos en la resolución de asuntos.</w:t>
      </w:r>
    </w:p>
    <w:p w14:paraId="69DB176B" w14:textId="77777777" w:rsidR="005A7C10" w:rsidRPr="005A7C10" w:rsidRDefault="005A7C10" w:rsidP="005A7C10">
      <w:pPr>
        <w:pStyle w:val="Prrafodelista"/>
        <w:jc w:val="both"/>
        <w:rPr>
          <w:highlight w:val="yellow"/>
          <w:lang w:val="es-ES"/>
        </w:rPr>
      </w:pPr>
    </w:p>
    <w:p w14:paraId="151E432F" w14:textId="3B61278C" w:rsidR="005A7C10" w:rsidRPr="005A7C10" w:rsidRDefault="005A7C10" w:rsidP="005A7C10">
      <w:pPr>
        <w:pStyle w:val="Prrafodelista"/>
        <w:widowControl/>
        <w:numPr>
          <w:ilvl w:val="0"/>
          <w:numId w:val="14"/>
        </w:numPr>
        <w:autoSpaceDE/>
        <w:autoSpaceDN/>
        <w:spacing w:after="160" w:line="259" w:lineRule="auto"/>
        <w:contextualSpacing/>
        <w:jc w:val="both"/>
        <w:rPr>
          <w:highlight w:val="yellow"/>
        </w:rPr>
      </w:pPr>
      <w:r w:rsidRPr="005A7C10">
        <w:rPr>
          <w:highlight w:val="yellow"/>
          <w:lang w:val="es-ES"/>
        </w:rPr>
        <w:t xml:space="preserve">El número de asuntos resueltos en los órganos judiciales aumenta un 4 % en el segundo trimestre de 2025. </w:t>
      </w:r>
      <w:hyperlink r:id="rId40" w:history="1">
        <w:r w:rsidRPr="005A7C10">
          <w:rPr>
            <w:rStyle w:val="Hipervnculo"/>
            <w:highlight w:val="yellow"/>
          </w:rPr>
          <w:t>https://www.abogacia.es/actualidad/noticias/el-numero-de-asuntos-resueltos-en-los-organos-judiciales-aumenta-un-4-en-el-segundo-trimestre-de-2025/</w:t>
        </w:r>
      </w:hyperlink>
      <w:r w:rsidRPr="005A7C10">
        <w:rPr>
          <w:highlight w:val="yellow"/>
        </w:rPr>
        <w:t xml:space="preserve">. </w:t>
      </w:r>
      <w:r w:rsidR="003043F7">
        <w:rPr>
          <w:highlight w:val="yellow"/>
        </w:rPr>
        <w:t>(</w:t>
      </w:r>
      <w:r w:rsidRPr="005A7C10">
        <w:rPr>
          <w:highlight w:val="yellow"/>
        </w:rPr>
        <w:t>L</w:t>
      </w:r>
      <w:r w:rsidR="003043F7">
        <w:rPr>
          <w:highlight w:val="yellow"/>
        </w:rPr>
        <w:t>eve</w:t>
      </w:r>
      <w:r w:rsidRPr="005A7C10">
        <w:rPr>
          <w:highlight w:val="yellow"/>
        </w:rPr>
        <w:t xml:space="preserve"> </w:t>
      </w:r>
      <w:proofErr w:type="spellStart"/>
      <w:r w:rsidRPr="005A7C10">
        <w:rPr>
          <w:highlight w:val="yellow"/>
        </w:rPr>
        <w:t>mejora</w:t>
      </w:r>
      <w:proofErr w:type="spellEnd"/>
      <w:r w:rsidR="003043F7">
        <w:rPr>
          <w:highlight w:val="yellow"/>
        </w:rPr>
        <w:t xml:space="preserve"> de la </w:t>
      </w:r>
      <w:proofErr w:type="spellStart"/>
      <w:r w:rsidR="003043F7">
        <w:rPr>
          <w:highlight w:val="yellow"/>
        </w:rPr>
        <w:t>eficiencia</w:t>
      </w:r>
      <w:proofErr w:type="spellEnd"/>
      <w:r w:rsidR="003043F7">
        <w:rPr>
          <w:highlight w:val="yellow"/>
        </w:rPr>
        <w:t xml:space="preserve"> -anterior a la </w:t>
      </w:r>
      <w:proofErr w:type="spellStart"/>
      <w:r w:rsidR="003043F7">
        <w:rPr>
          <w:highlight w:val="yellow"/>
        </w:rPr>
        <w:t>huelga</w:t>
      </w:r>
      <w:proofErr w:type="spellEnd"/>
      <w:r w:rsidR="003043F7">
        <w:rPr>
          <w:highlight w:val="yellow"/>
        </w:rPr>
        <w:t>-)</w:t>
      </w:r>
      <w:r w:rsidRPr="005A7C10">
        <w:rPr>
          <w:highlight w:val="yellow"/>
        </w:rPr>
        <w:t>.</w:t>
      </w:r>
    </w:p>
    <w:p w14:paraId="4F45E1F7" w14:textId="77777777" w:rsidR="00024E26" w:rsidRDefault="00000000">
      <w:pPr>
        <w:ind w:left="545" w:right="-15"/>
        <w:rPr>
          <w:sz w:val="20"/>
        </w:rPr>
      </w:pPr>
      <w:r>
        <w:rPr>
          <w:noProof/>
          <w:sz w:val="20"/>
        </w:rPr>
        <mc:AlternateContent>
          <mc:Choice Requires="wpg">
            <w:drawing>
              <wp:inline distT="0" distB="0" distL="0" distR="0" wp14:anchorId="32BE59E1" wp14:editId="4B8AE41B">
                <wp:extent cx="6191250" cy="390525"/>
                <wp:effectExtent l="0" t="0" r="0" b="0"/>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1250" cy="390525"/>
                          <a:chOff x="0" y="0"/>
                          <a:chExt cx="6191250" cy="390525"/>
                        </a:xfrm>
                      </wpg:grpSpPr>
                      <wps:wsp>
                        <wps:cNvPr id="81" name="Graphic 81"/>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wpg:wgp>
                  </a:graphicData>
                </a:graphic>
              </wp:inline>
            </w:drawing>
          </mc:Choice>
          <mc:Fallback>
            <w:pict>
              <v:group w14:anchorId="50FBEB6F" id="Group 80" o:spid="_x0000_s1026" style="width:487.5pt;height:30.75pt;mso-position-horizontal-relative:char;mso-position-vertical-relative:line" coordsize="61912,3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zgFmwIAADAHAAAOAAAAZHJzL2Uyb0RvYy54bWykVW1P2zAQ/j5p/8Hy95GkCNZGpIjBqCYh&#10;QKLTPruO86I5tme7Tfn3OztxkhXBVFCk5Gw/Pt8995xzcblvONoxbWopMpycxBgxQWVeizLDP9e3&#10;X+YYGUtETrgULMPPzODL5edPF61K2UxWkudMI3AiTNqqDFfWqjSKDK1YQ8yJVEzAYiF1QywMdRnl&#10;mrTgveHRLI7Po1bqXGlJmTEwe9Mt4qX3XxSM2oeiMMwinmGIzfq39u+Ne0fLC5KWmqiqpn0Y5B1R&#10;NKQWcOjg6oZYgra6fuGqqamWRhb2hMomkkVRU+ZzgGyS+CCblZZb5XMp07ZUA01A7QFP73ZL73cr&#10;rZ7Uo+6iB/NO0t8GeIlaVabTdTcuR/C+0I3bBEmgvWf0eWCU7S2iMHmeLJLZGRBPYe10EZ/NzjrK&#10;aQV1ebGNVt/f3hiRtDvWBzcE0ypQjxkJMh8j6KkiinnejSPgUaM6z/A8wUiQBkS86vUCM8CTOxxQ&#10;jsN+ZHo6P8DQkChJ6dbYFZOea7K7M7bTbB4sUgWL7kUwNSjfaZ57zVuMQPMaI9D8piuAItbtcwV0&#10;JmonxaqGWrnlRu7YWnqgdRUbahrKDbGOGC7+xc6Tr1BzNMEGRPiq3uuIXPQyAccBFL4vwafzJI59&#10;I78K9/5cCMdgjwriKPDbwUKz/JesDjP206uZT2t1JPwwSsqlYSA9OMsJZjC8iGByKlMjeZ3f1pw7&#10;1Rhdbq65RjsCevx25R4nQdgygUE/m7TrG2dtZP4MbddCo2XY/NkSzTDiPwQ0trvFg6GDsQmGtvxa&#10;+rveC1Ybu97/IlohBWaGLVxM9zL0N0lDP7mkBqzbKeTV1sqids3mY+si6gdw13jLX8s+lf4X4u79&#10;6dijxh/d8i8AAAD//wMAUEsDBBQABgAIAAAAIQAYif0a2wAAAAQBAAAPAAAAZHJzL2Rvd25yZXYu&#10;eG1sTI9BS8NAEIXvgv9hGcGb3URJtTGbUop6KoKtIL1Nk2kSmp0N2W2S/ntHL3p58HjDe99ky8m2&#10;aqDeN44NxLMIFHHhyoYrA5+717snUD4gl9g6JgMX8rDMr68yTEs38gcN21ApKWGfooE6hC7V2hc1&#10;WfQz1xFLdnS9xSC2r3TZ4yjlttX3UTTXFhuWhRo7WtdUnLZna+BtxHH1EL8Mm9NxfdnvkvevTUzG&#10;3N5Mq2dQgabwdww/+IIOuTAd3JlLr1oD8kj4VckWj4nYg4F5nIDOM/0fPv8GAAD//wMAUEsBAi0A&#10;FAAGAAgAAAAhALaDOJL+AAAA4QEAABMAAAAAAAAAAAAAAAAAAAAAAFtDb250ZW50X1R5cGVzXS54&#10;bWxQSwECLQAUAAYACAAAACEAOP0h/9YAAACUAQAACwAAAAAAAAAAAAAAAAAvAQAAX3JlbHMvLnJl&#10;bHNQSwECLQAUAAYACAAAACEAFxM4BZsCAAAwBwAADgAAAAAAAAAAAAAAAAAuAgAAZHJzL2Uyb0Rv&#10;Yy54bWxQSwECLQAUAAYACAAAACEAGIn9GtsAAAAEAQAADwAAAAAAAAAAAAAAAAD1BAAAZHJzL2Rv&#10;d25yZXYueG1sUEsFBgAAAAAEAAQA8wAAAP0FAAAAAA==&#10;">
                <v:shape id="Graphic 81" o:spid="_x0000_s1027" style="position:absolute;width:61912;height:3905;visibility:visible;mso-wrap-style:square;v-text-anchor:top" coordsize="6191250,390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fYxAAAANsAAAAPAAAAZHJzL2Rvd25yZXYueG1sRI9Ra8Iw&#10;FIXfhf2HcAd707TCRDqjjIEiY5NZtz1fmru0rLkpSWq7f2+EgY+Hc853OKvNaFtxJh8axwryWQaC&#10;uHK6YaPg87SdLkGEiKyxdUwK/ijAZn03WWGh3cBHOpfRiAThUKCCOsaukDJUNVkMM9cRJ+/HeYsx&#10;SW+k9jgkuG3lPMsW0mLDaaHGjl5qqn7L3ioYd7nvy/ev3vjmsXsbvg8f5rVX6uF+fH4CEWmMt/B/&#10;e68VLHO4fkk/QK4vAAAA//8DAFBLAQItABQABgAIAAAAIQDb4fbL7gAAAIUBAAATAAAAAAAAAAAA&#10;AAAAAAAAAABbQ29udGVudF9UeXBlc10ueG1sUEsBAi0AFAAGAAgAAAAhAFr0LFu/AAAAFQEAAAsA&#10;AAAAAAAAAAAAAAAAHwEAAF9yZWxzLy5yZWxzUEsBAi0AFAAGAAgAAAAhAObr59jEAAAA2wAAAA8A&#10;AAAAAAAAAAAAAAAABwIAAGRycy9kb3ducmV2LnhtbFBLBQYAAAAAAwADALcAAAD4AgAAAAA=&#10;" path="m6191250,r-9525,l6181725,9525r,371475l9525,381000r,-371475l6181725,9525r,-9525l,,,390525r6191250,l6191250,xe" fillcolor="#bababa" stroked="f">
                  <v:path arrowok="t"/>
                </v:shape>
                <w10:anchorlock/>
              </v:group>
            </w:pict>
          </mc:Fallback>
        </mc:AlternateContent>
      </w:r>
    </w:p>
    <w:p w14:paraId="46FAA762" w14:textId="77777777" w:rsidR="00024E26" w:rsidRDefault="00024E26">
      <w:pPr>
        <w:pStyle w:val="Textoindependiente"/>
        <w:spacing w:before="151"/>
        <w:rPr>
          <w:i/>
        </w:rPr>
      </w:pPr>
    </w:p>
    <w:p w14:paraId="18F42E99" w14:textId="77777777" w:rsidR="00024E26" w:rsidRPr="005A7C10" w:rsidRDefault="00000000">
      <w:pPr>
        <w:pStyle w:val="Ttulo2"/>
        <w:spacing w:before="1"/>
        <w:jc w:val="both"/>
        <w:rPr>
          <w:lang w:val="es-ES"/>
        </w:rPr>
      </w:pPr>
      <w:r w:rsidRPr="005A7C10">
        <w:rPr>
          <w:lang w:val="es-ES"/>
        </w:rPr>
        <w:t xml:space="preserve">Cualquier otra novedad relacionada con el sistema judicial; </w:t>
      </w:r>
      <w:r w:rsidRPr="005A7C10">
        <w:rPr>
          <w:spacing w:val="-2"/>
          <w:lang w:val="es-ES"/>
        </w:rPr>
        <w:t>especifíquela</w:t>
      </w:r>
      <w:r w:rsidRPr="005A7C10">
        <w:rPr>
          <w:lang w:val="es-ES"/>
        </w:rPr>
        <w:t>.</w:t>
      </w:r>
    </w:p>
    <w:p w14:paraId="6AAC6ECF" w14:textId="6E911B63" w:rsidR="00024E26" w:rsidRPr="005F3CD3" w:rsidRDefault="00000000" w:rsidP="005F3CD3">
      <w:pPr>
        <w:pStyle w:val="Prrafodelista"/>
        <w:numPr>
          <w:ilvl w:val="0"/>
          <w:numId w:val="20"/>
        </w:numPr>
        <w:spacing w:before="146"/>
        <w:rPr>
          <w:i/>
          <w:sz w:val="19"/>
          <w:lang w:val="es-ES"/>
        </w:rPr>
      </w:pPr>
      <w:proofErr w:type="spellStart"/>
      <w:r w:rsidRPr="005F3CD3">
        <w:rPr>
          <w:i/>
          <w:color w:val="666666"/>
          <w:sz w:val="19"/>
          <w:lang w:val="es-ES"/>
        </w:rPr>
        <w:t>acteres</w:t>
      </w:r>
      <w:proofErr w:type="spellEnd"/>
      <w:r w:rsidRPr="005F3CD3">
        <w:rPr>
          <w:i/>
          <w:color w:val="666666"/>
          <w:sz w:val="19"/>
          <w:lang w:val="es-ES"/>
        </w:rPr>
        <w:t xml:space="preserve"> </w:t>
      </w:r>
      <w:r w:rsidRPr="005F3CD3">
        <w:rPr>
          <w:i/>
          <w:color w:val="666666"/>
          <w:spacing w:val="-2"/>
          <w:sz w:val="19"/>
          <w:lang w:val="es-ES"/>
        </w:rPr>
        <w:t>como máximo</w:t>
      </w:r>
    </w:p>
    <w:p w14:paraId="7423E31F" w14:textId="77777777" w:rsidR="00024E26" w:rsidRPr="003043F7" w:rsidRDefault="00000000">
      <w:pPr>
        <w:pStyle w:val="Textoindependiente"/>
        <w:spacing w:before="2"/>
        <w:rPr>
          <w:i/>
          <w:sz w:val="5"/>
          <w:lang w:val="es-ES"/>
        </w:rPr>
      </w:pPr>
      <w:r>
        <w:rPr>
          <w:i/>
          <w:noProof/>
          <w:sz w:val="5"/>
        </w:rPr>
        <mc:AlternateContent>
          <mc:Choice Requires="wps">
            <w:drawing>
              <wp:anchor distT="0" distB="0" distL="0" distR="0" simplePos="0" relativeHeight="487605248" behindDoc="1" locked="0" layoutInCell="1" allowOverlap="1" wp14:anchorId="2A5DB1B5" wp14:editId="677734AF">
                <wp:simplePos x="0" y="0"/>
                <wp:positionH relativeFrom="page">
                  <wp:posOffset>885825</wp:posOffset>
                </wp:positionH>
                <wp:positionV relativeFrom="paragraph">
                  <wp:posOffset>53575</wp:posOffset>
                </wp:positionV>
                <wp:extent cx="6191250" cy="390525"/>
                <wp:effectExtent l="0" t="0" r="0" b="0"/>
                <wp:wrapTopAndBottom/>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9277DF4" id="Graphic 82" o:spid="_x0000_s1026" style="position:absolute;margin-left:69.75pt;margin-top:4.2pt;width:487.5pt;height:30.75pt;z-index:-1571123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1FCD19FE" w14:textId="77777777" w:rsidR="00024E26" w:rsidRPr="003043F7" w:rsidRDefault="00024E26">
      <w:pPr>
        <w:pStyle w:val="Textoindependiente"/>
        <w:spacing w:before="115"/>
        <w:rPr>
          <w:i/>
          <w:sz w:val="19"/>
          <w:lang w:val="es-ES"/>
        </w:rPr>
      </w:pPr>
    </w:p>
    <w:p w14:paraId="2ED1D0DE" w14:textId="02E8F75C" w:rsidR="005F3CD3" w:rsidRPr="005F3CD3" w:rsidRDefault="005F3CD3" w:rsidP="005F3CD3">
      <w:pPr>
        <w:pStyle w:val="Ttulo1"/>
        <w:tabs>
          <w:tab w:val="left" w:pos="561"/>
        </w:tabs>
        <w:ind w:left="561"/>
        <w:rPr>
          <w:spacing w:val="-4"/>
          <w:highlight w:val="red"/>
          <w:lang w:val="es-ES"/>
        </w:rPr>
      </w:pPr>
      <w:r w:rsidRPr="005F3CD3">
        <w:rPr>
          <w:spacing w:val="-4"/>
          <w:highlight w:val="red"/>
          <w:lang w:val="es-ES"/>
        </w:rPr>
        <w:t xml:space="preserve">NO SE EMITEN CONTRIBUCIONES SOBRE LOS CAPITULOS: </w:t>
      </w:r>
    </w:p>
    <w:p w14:paraId="7919A6CA" w14:textId="77777777" w:rsidR="005F3CD3" w:rsidRPr="005F3CD3" w:rsidRDefault="005F3CD3" w:rsidP="005F3CD3">
      <w:pPr>
        <w:pStyle w:val="Ttulo1"/>
        <w:tabs>
          <w:tab w:val="left" w:pos="561"/>
        </w:tabs>
        <w:ind w:left="561"/>
        <w:rPr>
          <w:spacing w:val="-4"/>
          <w:highlight w:val="red"/>
          <w:lang w:val="es-ES"/>
        </w:rPr>
      </w:pPr>
    </w:p>
    <w:p w14:paraId="1A6AF753" w14:textId="6E41C086" w:rsidR="00024E26" w:rsidRPr="005F3CD3" w:rsidRDefault="00000000" w:rsidP="005F3CD3">
      <w:pPr>
        <w:pStyle w:val="Ttulo1"/>
        <w:numPr>
          <w:ilvl w:val="0"/>
          <w:numId w:val="3"/>
        </w:numPr>
        <w:tabs>
          <w:tab w:val="left" w:pos="561"/>
        </w:tabs>
        <w:rPr>
          <w:spacing w:val="-4"/>
          <w:highlight w:val="red"/>
          <w:lang w:val="es-ES"/>
        </w:rPr>
      </w:pPr>
      <w:r w:rsidRPr="005F3CD3">
        <w:rPr>
          <w:spacing w:val="-4"/>
          <w:highlight w:val="red"/>
          <w:lang w:val="es-ES"/>
        </w:rPr>
        <w:t>Marco de lucha contra la corrupción</w:t>
      </w:r>
    </w:p>
    <w:p w14:paraId="722AC7D9" w14:textId="3A7DA874" w:rsidR="005F3CD3" w:rsidRPr="005F3CD3" w:rsidRDefault="005F3CD3" w:rsidP="005F3CD3">
      <w:pPr>
        <w:pStyle w:val="Ttulo1"/>
        <w:numPr>
          <w:ilvl w:val="0"/>
          <w:numId w:val="3"/>
        </w:numPr>
        <w:tabs>
          <w:tab w:val="left" w:pos="561"/>
        </w:tabs>
        <w:rPr>
          <w:highlight w:val="red"/>
          <w:lang w:val="es-ES"/>
        </w:rPr>
      </w:pPr>
      <w:r w:rsidRPr="005F3CD3">
        <w:rPr>
          <w:highlight w:val="red"/>
          <w:lang w:val="es-ES"/>
        </w:rPr>
        <w:t>Pluralismo y medios de comunicación</w:t>
      </w:r>
    </w:p>
    <w:p w14:paraId="0FB85047" w14:textId="77777777" w:rsidR="005F3CD3" w:rsidRPr="005A7C10" w:rsidRDefault="005F3CD3" w:rsidP="005F3CD3">
      <w:pPr>
        <w:pStyle w:val="Ttulo1"/>
        <w:tabs>
          <w:tab w:val="left" w:pos="561"/>
        </w:tabs>
        <w:ind w:left="234"/>
        <w:rPr>
          <w:lang w:val="es-ES"/>
        </w:rPr>
      </w:pPr>
    </w:p>
    <w:p w14:paraId="149EDAA9" w14:textId="77777777" w:rsidR="00024E26" w:rsidRPr="005A7C10" w:rsidRDefault="00000000">
      <w:pPr>
        <w:pStyle w:val="Textoindependiente"/>
        <w:spacing w:before="1"/>
        <w:rPr>
          <w:sz w:val="9"/>
          <w:lang w:val="es-ES"/>
        </w:rPr>
      </w:pPr>
      <w:r>
        <w:rPr>
          <w:noProof/>
          <w:sz w:val="9"/>
        </w:rPr>
        <mc:AlternateContent>
          <mc:Choice Requires="wps">
            <w:drawing>
              <wp:anchor distT="0" distB="0" distL="0" distR="0" simplePos="0" relativeHeight="487605760" behindDoc="1" locked="0" layoutInCell="1" allowOverlap="1" wp14:anchorId="632D05CC" wp14:editId="51445659">
                <wp:simplePos x="0" y="0"/>
                <wp:positionH relativeFrom="page">
                  <wp:posOffset>695325</wp:posOffset>
                </wp:positionH>
                <wp:positionV relativeFrom="paragraph">
                  <wp:posOffset>81627</wp:posOffset>
                </wp:positionV>
                <wp:extent cx="6381750" cy="19050"/>
                <wp:effectExtent l="0" t="0" r="0" b="0"/>
                <wp:wrapTopAndBottom/>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49A005" id="Graphic 83" o:spid="_x0000_s1026" style="position:absolute;margin-left:54.75pt;margin-top:6.45pt;width:502.5pt;height:1.5pt;z-index:-15710720;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BNV0HPfAAAACgEAAA8AAABkcnMvZG93bnJldi54bWxMj0FPwzAMhe9I/IfI&#10;SNxY0mmbaGk6TUhMwIUxkOCYNqat1jhVk3Xl3+Odxu09++n5c76eXCdGHELrSUMyUyCQKm9bqjV8&#10;fjzd3YMI0ZA1nSfU8IsB1sX1VW4y60/0juM+1oJLKGRGQxNjn0kZqgadCTPfI/Huxw/ORLZDLe1g&#10;TlzuOjlXaiWdaYkvNKbHxwarw/7oNHyvmt3zmzrskvj6Mi7KdLuZvrZa395MmwcQEad4CcMZn9Gh&#10;YKbSH8kG0bFX6ZKjLOYpiHMgSRY8KVktU5BFLv+/UPwBAAD//wMAUEsBAi0AFAAGAAgAAAAhALaD&#10;OJL+AAAA4QEAABMAAAAAAAAAAAAAAAAAAAAAAFtDb250ZW50X1R5cGVzXS54bWxQSwECLQAUAAYA&#10;CAAAACEAOP0h/9YAAACUAQAACwAAAAAAAAAAAAAAAAAvAQAAX3JlbHMvLnJlbHNQSwECLQAUAAYA&#10;CAAAACEAxnCryRkCAADBBAAADgAAAAAAAAAAAAAAAAAuAgAAZHJzL2Uyb0RvYy54bWxQSwECLQAU&#10;AAYACAAAACEAE1XQc98AAAAKAQAADwAAAAAAAAAAAAAAAABzBAAAZHJzL2Rvd25yZXYueG1sUEsF&#10;BgAAAAAEAAQA8wAAAH8FAAAAAA==&#10;" path="m6381750,l,,,19050r6381750,l6381750,xe" fillcolor="black" stroked="f">
                <v:path arrowok="t"/>
                <w10:wrap type="topAndBottom" anchorx="page"/>
              </v:shape>
            </w:pict>
          </mc:Fallback>
        </mc:AlternateContent>
      </w:r>
    </w:p>
    <w:p w14:paraId="5FA2CAF6" w14:textId="79116357" w:rsidR="00024E26" w:rsidRDefault="00024E26" w:rsidP="005F3CD3">
      <w:pPr>
        <w:spacing w:before="328" w:line="357" w:lineRule="auto"/>
        <w:ind w:left="245"/>
        <w:rPr>
          <w:i/>
          <w:sz w:val="5"/>
        </w:rPr>
        <w:sectPr w:rsidR="00024E26">
          <w:pgSz w:w="11910" w:h="16840"/>
          <w:pgMar w:top="660" w:right="708" w:bottom="480" w:left="850" w:header="0" w:footer="293" w:gutter="0"/>
          <w:cols w:space="720"/>
        </w:sectPr>
      </w:pPr>
    </w:p>
    <w:p w14:paraId="4163F3E2" w14:textId="77777777" w:rsidR="00024E26" w:rsidRDefault="00024E26">
      <w:pPr>
        <w:pStyle w:val="Textoindependiente"/>
        <w:spacing w:before="115"/>
        <w:rPr>
          <w:i/>
          <w:sz w:val="19"/>
        </w:rPr>
      </w:pPr>
    </w:p>
    <w:p w14:paraId="328FEA56" w14:textId="77777777" w:rsidR="00024E26" w:rsidRPr="005A7C10" w:rsidRDefault="00000000">
      <w:pPr>
        <w:pStyle w:val="Ttulo1"/>
        <w:numPr>
          <w:ilvl w:val="0"/>
          <w:numId w:val="3"/>
        </w:numPr>
        <w:tabs>
          <w:tab w:val="left" w:pos="671"/>
        </w:tabs>
        <w:ind w:left="671" w:hanging="426"/>
        <w:rPr>
          <w:lang w:val="es-ES"/>
        </w:rPr>
      </w:pPr>
      <w:r w:rsidRPr="005A7C10">
        <w:rPr>
          <w:spacing w:val="-2"/>
          <w:lang w:val="es-ES"/>
        </w:rPr>
        <w:t>Otras cuestiones institucionales relacionadas con los controles y contrapesos</w:t>
      </w:r>
    </w:p>
    <w:p w14:paraId="561DB8C9" w14:textId="77777777" w:rsidR="00024E26" w:rsidRPr="005A7C10" w:rsidRDefault="00000000">
      <w:pPr>
        <w:pStyle w:val="Textoindependiente"/>
        <w:spacing w:before="1"/>
        <w:rPr>
          <w:sz w:val="9"/>
          <w:lang w:val="es-ES"/>
        </w:rPr>
      </w:pPr>
      <w:r>
        <w:rPr>
          <w:noProof/>
          <w:sz w:val="9"/>
        </w:rPr>
        <mc:AlternateContent>
          <mc:Choice Requires="wps">
            <w:drawing>
              <wp:anchor distT="0" distB="0" distL="0" distR="0" simplePos="0" relativeHeight="487622144" behindDoc="1" locked="0" layoutInCell="1" allowOverlap="1" wp14:anchorId="09446823" wp14:editId="205BB4B9">
                <wp:simplePos x="0" y="0"/>
                <wp:positionH relativeFrom="page">
                  <wp:posOffset>695325</wp:posOffset>
                </wp:positionH>
                <wp:positionV relativeFrom="paragraph">
                  <wp:posOffset>81627</wp:posOffset>
                </wp:positionV>
                <wp:extent cx="6381750" cy="19050"/>
                <wp:effectExtent l="0" t="0" r="0" b="0"/>
                <wp:wrapTopAndBottom/>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B7EE4A7" id="Graphic 116" o:spid="_x0000_s1026" style="position:absolute;margin-left:54.75pt;margin-top:6.45pt;width:502.5pt;height:1.5pt;z-index:-15694336;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BNV0HPfAAAACgEAAA8AAABkcnMvZG93bnJldi54bWxMj0FPwzAMhe9I/IfI&#10;SNxY0mmbaGk6TUhMwIUxkOCYNqat1jhVk3Xl3+Odxu09++n5c76eXCdGHELrSUMyUyCQKm9bqjV8&#10;fjzd3YMI0ZA1nSfU8IsB1sX1VW4y60/0juM+1oJLKGRGQxNjn0kZqgadCTPfI/Huxw/ORLZDLe1g&#10;TlzuOjlXaiWdaYkvNKbHxwarw/7oNHyvmt3zmzrskvj6Mi7KdLuZvrZa395MmwcQEad4CcMZn9Gh&#10;YKbSH8kG0bFX6ZKjLOYpiHMgSRY8KVktU5BFLv+/UPwBAAD//wMAUEsBAi0AFAAGAAgAAAAhALaD&#10;OJL+AAAA4QEAABMAAAAAAAAAAAAAAAAAAAAAAFtDb250ZW50X1R5cGVzXS54bWxQSwECLQAUAAYA&#10;CAAAACEAOP0h/9YAAACUAQAACwAAAAAAAAAAAAAAAAAvAQAAX3JlbHMvLnJlbHNQSwECLQAUAAYA&#10;CAAAACEAxnCryRkCAADBBAAADgAAAAAAAAAAAAAAAAAuAgAAZHJzL2Uyb0RvYy54bWxQSwECLQAU&#10;AAYACAAAACEAE1XQc98AAAAKAQAADwAAAAAAAAAAAAAAAABzBAAAZHJzL2Rvd25yZXYueG1sUEsF&#10;BgAAAAAEAAQA8wAAAH8FAAAAAA==&#10;" path="m6381750,l,,,19050r6381750,l6381750,xe" fillcolor="black" stroked="f">
                <v:path arrowok="t"/>
                <w10:wrap type="topAndBottom" anchorx="page"/>
              </v:shape>
            </w:pict>
          </mc:Fallback>
        </mc:AlternateContent>
      </w:r>
    </w:p>
    <w:p w14:paraId="4D46E52A" w14:textId="77777777" w:rsidR="00024E26" w:rsidRPr="005A7C10" w:rsidRDefault="00000000">
      <w:pPr>
        <w:pStyle w:val="Textoindependiente"/>
        <w:spacing w:before="330" w:line="352" w:lineRule="auto"/>
        <w:ind w:left="245"/>
        <w:rPr>
          <w:lang w:val="es-ES"/>
        </w:rPr>
      </w:pPr>
      <w:r w:rsidRPr="005A7C10">
        <w:rPr>
          <w:spacing w:val="-2"/>
          <w:lang w:val="es-ES"/>
        </w:rPr>
        <w:t xml:space="preserve">Proporcione información sobre las medidas adoptadas para dar seguimiento a las recomendaciones </w:t>
      </w:r>
      <w:r w:rsidRPr="005A7C10">
        <w:rPr>
          <w:lang w:val="es-ES"/>
        </w:rPr>
        <w:t xml:space="preserve">recibidas en el Informe de 2025 en relación con el sistema de controles y contrapesos (si </w:t>
      </w:r>
      <w:r w:rsidRPr="005A7C10">
        <w:rPr>
          <w:spacing w:val="-2"/>
          <w:lang w:val="es-ES"/>
        </w:rPr>
        <w:t>procede).</w:t>
      </w:r>
    </w:p>
    <w:p w14:paraId="33D2568C" w14:textId="77777777" w:rsidR="00024E26" w:rsidRDefault="00000000">
      <w:pPr>
        <w:spacing w:line="218" w:lineRule="exact"/>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274F0DFB" w14:textId="77777777" w:rsidR="00024E26" w:rsidRDefault="00000000">
      <w:pPr>
        <w:pStyle w:val="Textoindependiente"/>
        <w:spacing w:before="3"/>
        <w:rPr>
          <w:i/>
          <w:sz w:val="5"/>
        </w:rPr>
      </w:pPr>
      <w:r>
        <w:rPr>
          <w:i/>
          <w:noProof/>
          <w:sz w:val="5"/>
        </w:rPr>
        <mc:AlternateContent>
          <mc:Choice Requires="wps">
            <w:drawing>
              <wp:anchor distT="0" distB="0" distL="0" distR="0" simplePos="0" relativeHeight="487622656" behindDoc="1" locked="0" layoutInCell="1" allowOverlap="1" wp14:anchorId="7930E4E9" wp14:editId="63CAB854">
                <wp:simplePos x="0" y="0"/>
                <wp:positionH relativeFrom="page">
                  <wp:posOffset>885825</wp:posOffset>
                </wp:positionH>
                <wp:positionV relativeFrom="paragraph">
                  <wp:posOffset>53771</wp:posOffset>
                </wp:positionV>
                <wp:extent cx="6191250" cy="390525"/>
                <wp:effectExtent l="0" t="0" r="0" b="0"/>
                <wp:wrapTopAndBottom/>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37"/>
                              </a:lnTo>
                              <a:lnTo>
                                <a:pt x="6181725" y="381000"/>
                              </a:lnTo>
                              <a:lnTo>
                                <a:pt x="9525" y="381000"/>
                              </a:lnTo>
                              <a:lnTo>
                                <a:pt x="9525" y="9537"/>
                              </a:lnTo>
                              <a:lnTo>
                                <a:pt x="6181725" y="9537"/>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0DC7A003" id="Graphic 117" o:spid="_x0000_s1026" style="position:absolute;margin-left:69.75pt;margin-top:4.25pt;width:487.5pt;height:30.75pt;z-index:-1569382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UuVWQIAAPgFAAAOAAAAZHJzL2Uyb0RvYy54bWysVFFr2zAQfh/sPwi9L7YT0jYmTulaOgal&#10;KzRjz4osx2ayT5OUOPn3O8mW4zawkTEC0sn6dPnu7rtb3h5qSfZCmwqajCaTmBLRcMirZpvR7+vH&#10;TzeUGMuanEloREaPwtDb1ccPy1alYgolyFxogk4ak7Yqo6W1Ko0iw0tRMzMBJRq8LEDXzOJRb6Nc&#10;sxa91zKaxvFV1ILOlQYujMGvD90lXXn/RSG4/VYURlgiM4rcrF+1XzdujVZLlm41U2XFexrsH1jU&#10;rGrwTwdXD8wystPVmau64hoMFHbCoY6gKCoufAwYTRK/i+a1ZEr4WDA5Rg1pMv/PLX/ev6oX7agb&#10;9QT8p8GMRK0y6XDjDqbHHApdOywSJwefxeOQRXGwhOPHq2SRTOeYbI53s0U8n85dmiOWhtd8Z+wX&#10;Ad4T2z8Z21UhDxYrg8UPTTA11tJVUfoqWkqwipoSrOKmq6Ji1r1z9JxJ2hGVcmDirmvYizV4oHVh&#10;DIxDMMj1hJHNW+xNco0RkRE2IMKueq8n5GI+u+6TEEBhPwfPbpI49tJEHgEW9g6+cEl1FC7BXkTi&#10;IvCfyaIU/pqsDvNGLSHisIdE9epywY/FFWBhP4e/Z8klGNEp0wnGS3QQEaZ+LFMDssofKymdaoze&#10;bu6lJnuGevx85359cUcw30Rd37gO2kB+fNGkxVGTUfNrx7SgRH5tsJfdXAqGDsYmGNrKe/DTywtW&#10;G7s+/GBaEYVmRi223TOEScHS0E/I3wE6rHvZwN3OQlG5ZvPcOkb9AceLj78fhW5+jc8edRrYq98A&#10;AAD//wMAUEsDBBQABgAIAAAAIQCRPRKi3QAAAAkBAAAPAAAAZHJzL2Rvd25yZXYueG1sTI/NTsMw&#10;EITvSLyDtUjcqB2gUEKcCiHBAQGCtHB2Y+NExOvIP014e7YnOO2OZjT7bbWe3cD2JsTeo4RiIYAZ&#10;bL3u0UrYbh7OVsBiUqjV4NFI+DER1vXxUaVK7Sd8N/smWUYlGEsloUtpLDmPbWecigs/GiTvywen&#10;EslguQ5qonI38HMhrrhTPdKFTo3mvjPtd5OdhPmxCLl5+cg29Mvxefp8fbNPWcrTk/nuFlgyc/oL&#10;wwGf0KEmpp3PqCMbSF/cLCkqYUXj4BfFJW07CddCAK8r/v+D+hcAAP//AwBQSwECLQAUAAYACAAA&#10;ACEAtoM4kv4AAADhAQAAEwAAAAAAAAAAAAAAAAAAAAAAW0NvbnRlbnRfVHlwZXNdLnhtbFBLAQIt&#10;ABQABgAIAAAAIQA4/SH/1gAAAJQBAAALAAAAAAAAAAAAAAAAAC8BAABfcmVscy8ucmVsc1BLAQIt&#10;ABQABgAIAAAAIQCyNUuVWQIAAPgFAAAOAAAAAAAAAAAAAAAAAC4CAABkcnMvZTJvRG9jLnhtbFBL&#10;AQItABQABgAIAAAAIQCRPRKi3QAAAAkBAAAPAAAAAAAAAAAAAAAAALMEAABkcnMvZG93bnJldi54&#10;bWxQSwUGAAAAAAQABADzAAAAvQUAAAAA&#10;" path="m6191250,r-9525,l6181725,9537r,371463l9525,381000r,-371463l6181725,9537r,-9537l,,,390525r6191250,l6191250,xe" fillcolor="#bababa" stroked="f">
                <v:path arrowok="t"/>
                <w10:wrap type="topAndBottom" anchorx="page"/>
              </v:shape>
            </w:pict>
          </mc:Fallback>
        </mc:AlternateContent>
      </w:r>
    </w:p>
    <w:p w14:paraId="1ED816D9" w14:textId="77777777" w:rsidR="00024E26" w:rsidRDefault="00024E26">
      <w:pPr>
        <w:pStyle w:val="Textoindependiente"/>
        <w:spacing w:before="111"/>
        <w:rPr>
          <w:i/>
          <w:sz w:val="19"/>
        </w:rPr>
      </w:pPr>
    </w:p>
    <w:p w14:paraId="62F1534E" w14:textId="77777777" w:rsidR="00024E26" w:rsidRPr="005A7C10" w:rsidRDefault="00000000">
      <w:pPr>
        <w:pStyle w:val="Prrafodelista"/>
        <w:numPr>
          <w:ilvl w:val="1"/>
          <w:numId w:val="3"/>
        </w:numPr>
        <w:tabs>
          <w:tab w:val="left" w:pos="559"/>
        </w:tabs>
        <w:ind w:hanging="314"/>
        <w:rPr>
          <w:sz w:val="27"/>
          <w:lang w:val="es-ES"/>
        </w:rPr>
      </w:pPr>
      <w:r w:rsidRPr="005A7C10">
        <w:rPr>
          <w:spacing w:val="-2"/>
          <w:sz w:val="27"/>
          <w:lang w:val="es-ES"/>
        </w:rPr>
        <w:t xml:space="preserve">El proceso de preparación, promulgación y aplicación </w:t>
      </w:r>
      <w:r w:rsidRPr="005A7C10">
        <w:rPr>
          <w:spacing w:val="-4"/>
          <w:sz w:val="27"/>
          <w:lang w:val="es-ES"/>
        </w:rPr>
        <w:t>de leyes</w:t>
      </w:r>
    </w:p>
    <w:p w14:paraId="5F15B452" w14:textId="77777777" w:rsidR="00024E26" w:rsidRPr="005A7C10" w:rsidRDefault="00024E26">
      <w:pPr>
        <w:pStyle w:val="Textoindependiente"/>
        <w:spacing w:before="142"/>
        <w:rPr>
          <w:lang w:val="es-ES"/>
        </w:rPr>
      </w:pPr>
    </w:p>
    <w:p w14:paraId="5EB39796" w14:textId="77777777" w:rsidR="00024E26" w:rsidRPr="005A7C10" w:rsidRDefault="00000000">
      <w:pPr>
        <w:pStyle w:val="Textoindependiente"/>
        <w:spacing w:line="352" w:lineRule="auto"/>
        <w:ind w:left="245" w:right="50"/>
        <w:jc w:val="both"/>
        <w:rPr>
          <w:lang w:val="es-ES"/>
        </w:rPr>
      </w:pPr>
      <w:r w:rsidRPr="005A7C10">
        <w:rPr>
          <w:b/>
          <w:i/>
          <w:lang w:val="es-ES"/>
        </w:rPr>
        <w:t xml:space="preserve">[relevancia para el mercado único] </w:t>
      </w:r>
      <w:r w:rsidRPr="005A7C10">
        <w:rPr>
          <w:lang w:val="es-ES"/>
        </w:rPr>
        <w:t>Marco, política y uso de evaluaciones de impacto y elaboración de políticas basadas en datos empíricos, consultas a las partes interesadas*/al público (incluidas las normas y prácticas sobre la participación transparente de la sociedad civil en los procesos de elaboración de políticas y toma de decisiones), y transparencia y calidad del proceso legislativo en las fases preparatoria, parlamentaria y de aplicación (incluidas orientaciones sobre cómo aplicar la legislación)</w:t>
      </w:r>
    </w:p>
    <w:p w14:paraId="2ACB419E" w14:textId="77777777" w:rsidR="00024E26" w:rsidRPr="005A7C10" w:rsidRDefault="00000000">
      <w:pPr>
        <w:spacing w:before="108"/>
        <w:ind w:left="245"/>
        <w:jc w:val="both"/>
        <w:rPr>
          <w:i/>
          <w:sz w:val="16"/>
          <w:lang w:val="es-ES"/>
        </w:rPr>
      </w:pPr>
      <w:r w:rsidRPr="005A7C10">
        <w:rPr>
          <w:i/>
          <w:sz w:val="16"/>
          <w:lang w:val="es-ES"/>
        </w:rPr>
        <w:t xml:space="preserve">* Esto incluye también la consulta a </w:t>
      </w:r>
      <w:r w:rsidRPr="005A7C10">
        <w:rPr>
          <w:i/>
          <w:spacing w:val="-2"/>
          <w:sz w:val="16"/>
          <w:lang w:val="es-ES"/>
        </w:rPr>
        <w:t xml:space="preserve">los interlocutores </w:t>
      </w:r>
      <w:r w:rsidRPr="005A7C10">
        <w:rPr>
          <w:i/>
          <w:sz w:val="16"/>
          <w:lang w:val="es-ES"/>
        </w:rPr>
        <w:t>sociales</w:t>
      </w:r>
    </w:p>
    <w:p w14:paraId="52A101FF" w14:textId="77777777" w:rsidR="00024E26" w:rsidRPr="005A7C10" w:rsidRDefault="00000000">
      <w:pPr>
        <w:spacing w:before="169"/>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5D664F0"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23168" behindDoc="1" locked="0" layoutInCell="1" allowOverlap="1" wp14:anchorId="730E47C1" wp14:editId="05E39DC5">
                <wp:simplePos x="0" y="0"/>
                <wp:positionH relativeFrom="page">
                  <wp:posOffset>885825</wp:posOffset>
                </wp:positionH>
                <wp:positionV relativeFrom="paragraph">
                  <wp:posOffset>53929</wp:posOffset>
                </wp:positionV>
                <wp:extent cx="6191250" cy="390525"/>
                <wp:effectExtent l="0" t="0" r="0" b="0"/>
                <wp:wrapTopAndBottom/>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5BB68B70" id="Graphic 118" o:spid="_x0000_s1026" style="position:absolute;margin-left:69.75pt;margin-top:4.25pt;width:487.5pt;height:30.75pt;z-index:-1569331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0CEB01BD" w14:textId="77777777" w:rsidR="00024E26" w:rsidRPr="005A7C10" w:rsidRDefault="00024E26">
      <w:pPr>
        <w:pStyle w:val="Textoindependiente"/>
        <w:spacing w:before="118"/>
        <w:rPr>
          <w:i/>
          <w:sz w:val="19"/>
          <w:lang w:val="es-ES"/>
        </w:rPr>
      </w:pPr>
    </w:p>
    <w:p w14:paraId="2EAE6C21" w14:textId="77777777" w:rsidR="00024E26" w:rsidRPr="005A7C10" w:rsidRDefault="00000000">
      <w:pPr>
        <w:pStyle w:val="Textoindependiente"/>
        <w:spacing w:line="352" w:lineRule="auto"/>
        <w:ind w:left="245" w:right="50"/>
        <w:jc w:val="both"/>
        <w:rPr>
          <w:lang w:val="es-ES"/>
        </w:rPr>
      </w:pPr>
      <w:r w:rsidRPr="005A7C10">
        <w:rPr>
          <w:b/>
          <w:i/>
          <w:lang w:val="es-ES"/>
        </w:rPr>
        <w:t xml:space="preserve">[Relevancia para el mercado único] </w:t>
      </w:r>
      <w:r w:rsidRPr="005A7C10">
        <w:rPr>
          <w:lang w:val="es-ES"/>
        </w:rPr>
        <w:t xml:space="preserve">Normas y uso de procedimientos acelerados y procedimientos de emergencia (por ejemplo, el porcentaje de decisiones adoptadas mediante </w:t>
      </w:r>
      <w:r w:rsidRPr="005A7C10">
        <w:rPr>
          <w:spacing w:val="-2"/>
          <w:lang w:val="es-ES"/>
        </w:rPr>
        <w:t>procedimientos de emergencia</w:t>
      </w:r>
    </w:p>
    <w:p w14:paraId="7476F7DD" w14:textId="77777777" w:rsidR="00024E26" w:rsidRPr="005A7C10" w:rsidRDefault="00000000">
      <w:pPr>
        <w:pStyle w:val="Textoindependiente"/>
        <w:ind w:left="245"/>
        <w:jc w:val="both"/>
        <w:rPr>
          <w:lang w:val="es-ES"/>
        </w:rPr>
      </w:pPr>
      <w:r w:rsidRPr="005A7C10">
        <w:rPr>
          <w:spacing w:val="-2"/>
          <w:lang w:val="es-ES"/>
        </w:rPr>
        <w:t>/urgente en comparación con el número total de decisiones adoptadas).</w:t>
      </w:r>
    </w:p>
    <w:p w14:paraId="130FDD3D" w14:textId="77777777" w:rsidR="00024E26" w:rsidRPr="005A7C10" w:rsidRDefault="00000000">
      <w:pPr>
        <w:spacing w:before="147"/>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62A71BB0"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23680" behindDoc="1" locked="0" layoutInCell="1" allowOverlap="1" wp14:anchorId="08283C5A" wp14:editId="0A9FFB80">
                <wp:simplePos x="0" y="0"/>
                <wp:positionH relativeFrom="page">
                  <wp:posOffset>885825</wp:posOffset>
                </wp:positionH>
                <wp:positionV relativeFrom="paragraph">
                  <wp:posOffset>53321</wp:posOffset>
                </wp:positionV>
                <wp:extent cx="6191250" cy="390525"/>
                <wp:effectExtent l="0" t="0" r="0" b="0"/>
                <wp:wrapTopAndBottom/>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04CDBC5E" id="Graphic 119" o:spid="_x0000_s1026" style="position:absolute;margin-left:69.75pt;margin-top:4.2pt;width:487.5pt;height:30.75pt;z-index:-1569280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3FDE276C" w14:textId="77777777" w:rsidR="00024E26" w:rsidRPr="005A7C10" w:rsidRDefault="00024E26">
      <w:pPr>
        <w:pStyle w:val="Textoindependiente"/>
        <w:spacing w:before="26"/>
        <w:rPr>
          <w:i/>
          <w:lang w:val="es-ES"/>
        </w:rPr>
      </w:pPr>
    </w:p>
    <w:p w14:paraId="489B3712" w14:textId="77777777" w:rsidR="00024E26" w:rsidRPr="005A7C10" w:rsidRDefault="00000000">
      <w:pPr>
        <w:spacing w:line="352" w:lineRule="auto"/>
        <w:ind w:left="245"/>
        <w:rPr>
          <w:sz w:val="27"/>
          <w:lang w:val="es-ES"/>
        </w:rPr>
      </w:pPr>
      <w:r w:rsidRPr="005A7C10">
        <w:rPr>
          <w:b/>
          <w:i/>
          <w:sz w:val="27"/>
          <w:lang w:val="es-ES"/>
        </w:rPr>
        <w:t xml:space="preserve">[Relevancia para el mercado único] </w:t>
      </w:r>
      <w:r w:rsidRPr="005A7C10">
        <w:rPr>
          <w:sz w:val="27"/>
          <w:lang w:val="es-ES"/>
        </w:rPr>
        <w:t>Salvaguardias para garantizar la seguridad jurídica, la estabilidad del marco jurídico y la no discriminación.</w:t>
      </w:r>
    </w:p>
    <w:p w14:paraId="059C8968" w14:textId="77777777" w:rsidR="00024E26" w:rsidRPr="005A7C10" w:rsidRDefault="00024E26">
      <w:pPr>
        <w:spacing w:line="352" w:lineRule="auto"/>
        <w:rPr>
          <w:sz w:val="27"/>
          <w:lang w:val="es-ES"/>
        </w:rPr>
        <w:sectPr w:rsidR="00024E26" w:rsidRPr="005A7C10">
          <w:pgSz w:w="11910" w:h="16840"/>
          <w:pgMar w:top="700" w:right="708" w:bottom="480" w:left="850" w:header="0" w:footer="293" w:gutter="0"/>
          <w:cols w:space="720"/>
        </w:sectPr>
      </w:pPr>
    </w:p>
    <w:p w14:paraId="6150026B" w14:textId="77777777" w:rsidR="00024E26" w:rsidRPr="005A7C10" w:rsidRDefault="00000000">
      <w:pPr>
        <w:spacing w:before="73"/>
        <w:ind w:left="395"/>
        <w:rPr>
          <w:i/>
          <w:sz w:val="19"/>
          <w:lang w:val="es-ES"/>
        </w:rPr>
      </w:pPr>
      <w:r w:rsidRPr="005A7C10">
        <w:rPr>
          <w:i/>
          <w:color w:val="666666"/>
          <w:sz w:val="19"/>
          <w:lang w:val="es-ES"/>
        </w:rPr>
        <w:lastRenderedPageBreak/>
        <w:t xml:space="preserve">5000 caracteres </w:t>
      </w:r>
      <w:r w:rsidRPr="005A7C10">
        <w:rPr>
          <w:i/>
          <w:color w:val="666666"/>
          <w:spacing w:val="-2"/>
          <w:sz w:val="19"/>
          <w:lang w:val="es-ES"/>
        </w:rPr>
        <w:t>como máximo</w:t>
      </w:r>
    </w:p>
    <w:p w14:paraId="5579A015"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24192" behindDoc="1" locked="0" layoutInCell="1" allowOverlap="1" wp14:anchorId="368016D2" wp14:editId="6AF84E67">
                <wp:simplePos x="0" y="0"/>
                <wp:positionH relativeFrom="page">
                  <wp:posOffset>885825</wp:posOffset>
                </wp:positionH>
                <wp:positionV relativeFrom="paragraph">
                  <wp:posOffset>53795</wp:posOffset>
                </wp:positionV>
                <wp:extent cx="6191250" cy="390525"/>
                <wp:effectExtent l="0" t="0" r="0" b="0"/>
                <wp:wrapTopAndBottom/>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36480AB1" id="Graphic 120" o:spid="_x0000_s1026" style="position:absolute;margin-left:69.75pt;margin-top:4.25pt;width:487.5pt;height:30.75pt;z-index:-1569228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35FF1DF8" w14:textId="77777777" w:rsidR="00024E26" w:rsidRPr="005A7C10" w:rsidRDefault="00024E26">
      <w:pPr>
        <w:pStyle w:val="Textoindependiente"/>
        <w:spacing w:before="111"/>
        <w:rPr>
          <w:i/>
          <w:sz w:val="19"/>
          <w:lang w:val="es-ES"/>
        </w:rPr>
      </w:pPr>
    </w:p>
    <w:p w14:paraId="172D92DB" w14:textId="77777777" w:rsidR="00024E26" w:rsidRPr="005A7C10" w:rsidRDefault="00000000">
      <w:pPr>
        <w:pStyle w:val="Textoindependiente"/>
        <w:spacing w:before="1" w:line="352" w:lineRule="auto"/>
        <w:ind w:left="245" w:right="224"/>
        <w:rPr>
          <w:lang w:val="es-ES"/>
        </w:rPr>
      </w:pPr>
      <w:r w:rsidRPr="005A7C10">
        <w:rPr>
          <w:spacing w:val="-2"/>
          <w:lang w:val="es-ES"/>
        </w:rPr>
        <w:t xml:space="preserve">Normas y aplicación de los estados de emergencia (o regímenes análogos), incluida </w:t>
      </w:r>
      <w:r w:rsidRPr="005A7C10">
        <w:rPr>
          <w:lang w:val="es-ES"/>
        </w:rPr>
        <w:t>la revisión judicial y la supervisión parlamentaria</w:t>
      </w:r>
    </w:p>
    <w:p w14:paraId="4A679447" w14:textId="77777777" w:rsidR="00024E26" w:rsidRPr="005A7C10" w:rsidRDefault="00000000">
      <w:pPr>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2B054E5"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24704" behindDoc="1" locked="0" layoutInCell="1" allowOverlap="1" wp14:anchorId="52E4B6A2" wp14:editId="2B3F5060">
                <wp:simplePos x="0" y="0"/>
                <wp:positionH relativeFrom="page">
                  <wp:posOffset>885825</wp:posOffset>
                </wp:positionH>
                <wp:positionV relativeFrom="paragraph">
                  <wp:posOffset>53367</wp:posOffset>
                </wp:positionV>
                <wp:extent cx="6191250" cy="390525"/>
                <wp:effectExtent l="0" t="0" r="0" b="0"/>
                <wp:wrapTopAndBottom/>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F535B4E" id="Graphic 121" o:spid="_x0000_s1026" style="position:absolute;margin-left:69.75pt;margin-top:4.2pt;width:487.5pt;height:30.75pt;z-index:-1569177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41B57449" w14:textId="77777777" w:rsidR="00024E26" w:rsidRPr="005A7C10" w:rsidRDefault="00024E26">
      <w:pPr>
        <w:pStyle w:val="Textoindependiente"/>
        <w:spacing w:before="111"/>
        <w:rPr>
          <w:i/>
          <w:sz w:val="19"/>
          <w:lang w:val="es-ES"/>
        </w:rPr>
      </w:pPr>
    </w:p>
    <w:p w14:paraId="693AFCF8" w14:textId="77777777" w:rsidR="00024E26" w:rsidRPr="005A7C10" w:rsidRDefault="00000000">
      <w:pPr>
        <w:pStyle w:val="Textoindependiente"/>
        <w:spacing w:before="1"/>
        <w:ind w:left="245"/>
        <w:rPr>
          <w:lang w:val="es-ES"/>
        </w:rPr>
      </w:pPr>
      <w:r w:rsidRPr="005A7C10">
        <w:rPr>
          <w:spacing w:val="-2"/>
          <w:lang w:val="es-ES"/>
        </w:rPr>
        <w:t xml:space="preserve">Régimen de revisión constitucional de </w:t>
      </w:r>
      <w:r w:rsidRPr="005A7C10">
        <w:rPr>
          <w:spacing w:val="-4"/>
          <w:lang w:val="es-ES"/>
        </w:rPr>
        <w:t>las leyes</w:t>
      </w:r>
    </w:p>
    <w:p w14:paraId="1707AEE2" w14:textId="77777777" w:rsidR="00024E26" w:rsidRDefault="00000000">
      <w:pPr>
        <w:spacing w:before="146"/>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1CCCC016" w14:textId="77777777" w:rsidR="00024E26" w:rsidRDefault="00000000">
      <w:pPr>
        <w:pStyle w:val="Textoindependiente"/>
        <w:spacing w:before="2"/>
        <w:rPr>
          <w:i/>
          <w:sz w:val="5"/>
        </w:rPr>
      </w:pPr>
      <w:r>
        <w:rPr>
          <w:i/>
          <w:noProof/>
          <w:sz w:val="5"/>
        </w:rPr>
        <mc:AlternateContent>
          <mc:Choice Requires="wps">
            <w:drawing>
              <wp:anchor distT="0" distB="0" distL="0" distR="0" simplePos="0" relativeHeight="487625216" behindDoc="1" locked="0" layoutInCell="1" allowOverlap="1" wp14:anchorId="36FB3F74" wp14:editId="5FBE110B">
                <wp:simplePos x="0" y="0"/>
                <wp:positionH relativeFrom="page">
                  <wp:posOffset>885825</wp:posOffset>
                </wp:positionH>
                <wp:positionV relativeFrom="paragraph">
                  <wp:posOffset>53570</wp:posOffset>
                </wp:positionV>
                <wp:extent cx="6191250" cy="390525"/>
                <wp:effectExtent l="0" t="0" r="0" b="0"/>
                <wp:wrapTopAndBottom/>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5469D9AE" id="Graphic 122" o:spid="_x0000_s1026" style="position:absolute;margin-left:69.75pt;margin-top:4.2pt;width:487.5pt;height:30.75pt;z-index:-1569126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75F1D75E" w14:textId="77777777" w:rsidR="00024E26" w:rsidRDefault="00024E26">
      <w:pPr>
        <w:pStyle w:val="Textoindependiente"/>
        <w:spacing w:before="111"/>
        <w:rPr>
          <w:i/>
          <w:sz w:val="19"/>
        </w:rPr>
      </w:pPr>
    </w:p>
    <w:p w14:paraId="59E02702" w14:textId="77777777" w:rsidR="00024E26" w:rsidRDefault="00000000">
      <w:pPr>
        <w:pStyle w:val="Prrafodelista"/>
        <w:numPr>
          <w:ilvl w:val="1"/>
          <w:numId w:val="3"/>
        </w:numPr>
        <w:tabs>
          <w:tab w:val="left" w:pos="558"/>
        </w:tabs>
        <w:ind w:left="558" w:hanging="313"/>
        <w:rPr>
          <w:sz w:val="27"/>
        </w:rPr>
      </w:pPr>
      <w:proofErr w:type="spellStart"/>
      <w:r>
        <w:rPr>
          <w:spacing w:val="-2"/>
          <w:sz w:val="27"/>
        </w:rPr>
        <w:t>Autoridades</w:t>
      </w:r>
      <w:proofErr w:type="spellEnd"/>
      <w:r>
        <w:rPr>
          <w:spacing w:val="-2"/>
          <w:sz w:val="27"/>
        </w:rPr>
        <w:t xml:space="preserve"> </w:t>
      </w:r>
      <w:proofErr w:type="spellStart"/>
      <w:r>
        <w:rPr>
          <w:spacing w:val="-5"/>
          <w:sz w:val="27"/>
        </w:rPr>
        <w:t>independientes</w:t>
      </w:r>
      <w:proofErr w:type="spellEnd"/>
    </w:p>
    <w:p w14:paraId="07456D4B" w14:textId="77777777" w:rsidR="00024E26" w:rsidRDefault="00024E26">
      <w:pPr>
        <w:pStyle w:val="Textoindependiente"/>
        <w:spacing w:before="135"/>
      </w:pPr>
    </w:p>
    <w:p w14:paraId="0D7E8980" w14:textId="77777777" w:rsidR="00024E26" w:rsidRPr="005A7C10" w:rsidRDefault="00000000">
      <w:pPr>
        <w:pStyle w:val="Textoindependiente"/>
        <w:spacing w:line="352" w:lineRule="auto"/>
        <w:ind w:left="245" w:right="486"/>
        <w:rPr>
          <w:lang w:val="es-ES"/>
        </w:rPr>
      </w:pPr>
      <w:r w:rsidRPr="005A7C10">
        <w:rPr>
          <w:lang w:val="es-ES"/>
        </w:rPr>
        <w:t>Independencia, recursos, capacidad y competencias (incluido el acceso efectivo a los datos pertinentes) de las instituciones nacionales de derechos humanos («INDH»), de las instituciones del defensor del pueblo si son distintas de las INDH, de los organismos de igualdad si son distintos de las INDH y de las instituciones supremas de auditoría</w:t>
      </w:r>
    </w:p>
    <w:p w14:paraId="4A6DB044" w14:textId="77777777" w:rsidR="00024E26" w:rsidRPr="005A7C10" w:rsidRDefault="00000000">
      <w:pPr>
        <w:spacing w:before="108"/>
        <w:ind w:left="245"/>
        <w:rPr>
          <w:i/>
          <w:sz w:val="16"/>
          <w:lang w:val="es-ES"/>
        </w:rPr>
      </w:pPr>
      <w:r w:rsidRPr="005A7C10">
        <w:rPr>
          <w:i/>
          <w:sz w:val="16"/>
          <w:lang w:val="es-ES"/>
        </w:rPr>
        <w:t>(Véase el sitio web del Tribunal de Cuentas Europeo:</w:t>
      </w:r>
      <w:hyperlink r:id="rId41" w:anchor=")">
        <w:r w:rsidR="00024E26" w:rsidRPr="005A7C10">
          <w:rPr>
            <w:i/>
            <w:spacing w:val="-2"/>
            <w:sz w:val="16"/>
            <w:lang w:val="es-ES"/>
          </w:rPr>
          <w:t xml:space="preserve"> https://www.eca.europa.eu/en/Pages/SupremeAuditInstitutions.aspx#)</w:t>
        </w:r>
      </w:hyperlink>
    </w:p>
    <w:p w14:paraId="6D100674" w14:textId="77777777" w:rsidR="00024E26" w:rsidRPr="005A7C10" w:rsidRDefault="00000000">
      <w:pPr>
        <w:spacing w:before="170"/>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1AD4839C"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25728" behindDoc="1" locked="0" layoutInCell="1" allowOverlap="1" wp14:anchorId="19A0ACEA" wp14:editId="44163F49">
                <wp:simplePos x="0" y="0"/>
                <wp:positionH relativeFrom="page">
                  <wp:posOffset>885825</wp:posOffset>
                </wp:positionH>
                <wp:positionV relativeFrom="paragraph">
                  <wp:posOffset>53416</wp:posOffset>
                </wp:positionV>
                <wp:extent cx="6191250" cy="390525"/>
                <wp:effectExtent l="0" t="0" r="0" b="0"/>
                <wp:wrapTopAndBottom/>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22276A11" id="Graphic 123" o:spid="_x0000_s1026" style="position:absolute;margin-left:69.75pt;margin-top:4.2pt;width:487.5pt;height:30.75pt;z-index:-1569075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65C9A7B3" w14:textId="77777777" w:rsidR="00024E26" w:rsidRPr="005A7C10" w:rsidRDefault="00024E26">
      <w:pPr>
        <w:pStyle w:val="Textoindependiente"/>
        <w:spacing w:before="111"/>
        <w:rPr>
          <w:i/>
          <w:sz w:val="19"/>
          <w:lang w:val="es-ES"/>
        </w:rPr>
      </w:pPr>
    </w:p>
    <w:p w14:paraId="0433686E" w14:textId="77777777" w:rsidR="00024E26" w:rsidRPr="005A7C10" w:rsidRDefault="00000000">
      <w:pPr>
        <w:pStyle w:val="Textoindependiente"/>
        <w:spacing w:before="1" w:line="352" w:lineRule="auto"/>
        <w:ind w:left="245" w:right="50"/>
        <w:jc w:val="both"/>
        <w:rPr>
          <w:lang w:val="es-ES"/>
        </w:rPr>
      </w:pPr>
      <w:r w:rsidRPr="005A7C10">
        <w:rPr>
          <w:lang w:val="es-ES"/>
        </w:rPr>
        <w:t>Estadísticas/informes sobre el seguimiento de las recomendaciones de las instituciones nacionales de derechos humanos, las instituciones del defensor del pueblo, los organismos de igualdad y las instituciones supremas de auditoría durante el último año.</w:t>
      </w:r>
    </w:p>
    <w:p w14:paraId="4339F4BD" w14:textId="77777777" w:rsidR="00024E26" w:rsidRPr="005A7C10" w:rsidRDefault="00000000">
      <w:pPr>
        <w:spacing w:line="218" w:lineRule="exact"/>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216EDA04"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26240" behindDoc="1" locked="0" layoutInCell="1" allowOverlap="1" wp14:anchorId="2486A8CA" wp14:editId="5D061BFB">
                <wp:simplePos x="0" y="0"/>
                <wp:positionH relativeFrom="page">
                  <wp:posOffset>885825</wp:posOffset>
                </wp:positionH>
                <wp:positionV relativeFrom="paragraph">
                  <wp:posOffset>53338</wp:posOffset>
                </wp:positionV>
                <wp:extent cx="6191250" cy="390525"/>
                <wp:effectExtent l="0" t="0" r="0" b="0"/>
                <wp:wrapTopAndBottom/>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89EBFCC" id="Graphic 124" o:spid="_x0000_s1026" style="position:absolute;margin-left:69.75pt;margin-top:4.2pt;width:487.5pt;height:30.75pt;z-index:-1569024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34AE9FC0" w14:textId="77777777" w:rsidR="00024E26" w:rsidRPr="005A7C10" w:rsidRDefault="00024E26">
      <w:pPr>
        <w:pStyle w:val="Textoindependiente"/>
        <w:spacing w:before="26"/>
        <w:rPr>
          <w:i/>
          <w:lang w:val="es-ES"/>
        </w:rPr>
      </w:pPr>
    </w:p>
    <w:p w14:paraId="2A33497D" w14:textId="77777777" w:rsidR="00024E26" w:rsidRPr="005A7C10" w:rsidRDefault="00000000">
      <w:pPr>
        <w:pStyle w:val="Textoindependiente"/>
        <w:spacing w:line="352" w:lineRule="auto"/>
        <w:ind w:left="245" w:right="224"/>
        <w:rPr>
          <w:lang w:val="es-ES"/>
        </w:rPr>
      </w:pPr>
      <w:r>
        <w:rPr>
          <w:noProof/>
        </w:rPr>
        <mc:AlternateContent>
          <mc:Choice Requires="wps">
            <w:drawing>
              <wp:anchor distT="0" distB="0" distL="0" distR="0" simplePos="0" relativeHeight="15766528" behindDoc="0" locked="0" layoutInCell="1" allowOverlap="1" wp14:anchorId="4E6C5AC7" wp14:editId="20CAF661">
                <wp:simplePos x="0" y="0"/>
                <wp:positionH relativeFrom="page">
                  <wp:posOffset>885825</wp:posOffset>
                </wp:positionH>
                <wp:positionV relativeFrom="paragraph">
                  <wp:posOffset>850345</wp:posOffset>
                </wp:positionV>
                <wp:extent cx="6191250" cy="390525"/>
                <wp:effectExtent l="0" t="0" r="0" b="0"/>
                <wp:wrapNone/>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7B10C3AE" id="Graphic 125" o:spid="_x0000_s1026" style="position:absolute;margin-left:69.75pt;margin-top:66.95pt;width:487.5pt;height:30.75pt;z-index:1576652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LIXj2PfAAAADAEAAA8AAABkcnMvZG93bnJldi54bWxMj81OwzAQhO9I&#10;vIO1SNyoE9ogEuJUCAkOCCpIC2c3WZyI2I7804S3Z3OC28zuaPbbcjvrgZ3Q+d4aAekqAYamsW1v&#10;lIDD/vHqFpgP0rRysAYF/KCHbXV+VsqitZN5x1MdFKMS4wspoAthLDj3TYda+pUd0dDuyzotA1mn&#10;eOvkROV64NdJcsO17A1d6OSIDx0233XUAuan1MX69SMq12fjy/S5e1PPUYjLi/n+DljAOfyFYcEn&#10;dKiI6WijaT0byK/zjKKLWOfAlkSabmh0JJVnG+BVyf8/Uf0CAAD//wMAUEsBAi0AFAAGAAgAAAAh&#10;ALaDOJL+AAAA4QEAABMAAAAAAAAAAAAAAAAAAAAAAFtDb250ZW50X1R5cGVzXS54bWxQSwECLQAU&#10;AAYACAAAACEAOP0h/9YAAACUAQAACwAAAAAAAAAAAAAAAAAvAQAAX3JlbHMvLnJlbHNQSwECLQAU&#10;AAYACAAAACEAdEvnB1UCAAD4BQAADgAAAAAAAAAAAAAAAAAuAgAAZHJzL2Uyb0RvYy54bWxQSwEC&#10;LQAUAAYACAAAACEAshePY98AAAAMAQAADwAAAAAAAAAAAAAAAACvBAAAZHJzL2Rvd25yZXYueG1s&#10;UEsFBgAAAAAEAAQA8wAAALsFAAAAAA==&#10;" path="m6191250,r-9525,l6181725,9525r,371475l9525,381000r,-371475l6181725,9525r,-9525l,,,390525r6191250,l6191250,xe" fillcolor="#bababa" stroked="f">
                <v:path arrowok="t"/>
                <w10:wrap anchorx="page"/>
              </v:shape>
            </w:pict>
          </mc:Fallback>
        </mc:AlternateContent>
      </w:r>
      <w:r w:rsidRPr="005A7C10">
        <w:rPr>
          <w:b/>
          <w:i/>
          <w:lang w:val="es-ES"/>
        </w:rPr>
        <w:t xml:space="preserve">[Relevancia para el mercado único] </w:t>
      </w:r>
      <w:r w:rsidRPr="005A7C10">
        <w:rPr>
          <w:lang w:val="es-ES"/>
        </w:rPr>
        <w:t xml:space="preserve">Salvaguardias para garantizar la independencia efectiva de </w:t>
      </w:r>
      <w:r w:rsidRPr="005A7C10">
        <w:rPr>
          <w:spacing w:val="-2"/>
          <w:lang w:val="es-ES"/>
        </w:rPr>
        <w:t>las autoridades de supervisión y regulación con un impacto directo en los operadores económicos</w:t>
      </w:r>
      <w:r w:rsidRPr="005A7C10">
        <w:rPr>
          <w:lang w:val="es-ES"/>
        </w:rPr>
        <w:t>, como las autoridades nacionales de supervisión económica, de ejecución y de competencia</w:t>
      </w:r>
    </w:p>
    <w:p w14:paraId="0C9717DB" w14:textId="77777777" w:rsidR="00024E26" w:rsidRPr="005A7C10" w:rsidRDefault="00024E26">
      <w:pPr>
        <w:pStyle w:val="Textoindependiente"/>
        <w:rPr>
          <w:lang w:val="es-ES"/>
        </w:rPr>
      </w:pPr>
    </w:p>
    <w:p w14:paraId="1B7ADF10" w14:textId="77777777" w:rsidR="00024E26" w:rsidRPr="005A7C10" w:rsidRDefault="00024E26">
      <w:pPr>
        <w:pStyle w:val="Textoindependiente"/>
        <w:spacing w:before="294"/>
        <w:rPr>
          <w:lang w:val="es-ES"/>
        </w:rPr>
      </w:pPr>
    </w:p>
    <w:p w14:paraId="53CC2C9F" w14:textId="77777777" w:rsidR="00024E26" w:rsidRPr="005A7C10" w:rsidRDefault="00000000">
      <w:pPr>
        <w:pStyle w:val="Prrafodelista"/>
        <w:numPr>
          <w:ilvl w:val="1"/>
          <w:numId w:val="3"/>
        </w:numPr>
        <w:tabs>
          <w:tab w:val="left" w:pos="570"/>
        </w:tabs>
        <w:ind w:left="570" w:hanging="325"/>
        <w:rPr>
          <w:sz w:val="27"/>
          <w:lang w:val="es-ES"/>
        </w:rPr>
      </w:pPr>
      <w:r w:rsidRPr="005A7C10">
        <w:rPr>
          <w:spacing w:val="-2"/>
          <w:sz w:val="27"/>
          <w:lang w:val="es-ES"/>
        </w:rPr>
        <w:t>Accesibilidad y revisión judicial de las decisiones administrativas</w:t>
      </w:r>
    </w:p>
    <w:p w14:paraId="5AD8B85C" w14:textId="77777777" w:rsidR="00024E26" w:rsidRPr="005A7C10" w:rsidRDefault="00024E26">
      <w:pPr>
        <w:pStyle w:val="Prrafodelista"/>
        <w:rPr>
          <w:sz w:val="27"/>
          <w:lang w:val="es-ES"/>
        </w:rPr>
        <w:sectPr w:rsidR="00024E26" w:rsidRPr="005A7C10">
          <w:pgSz w:w="11910" w:h="16840"/>
          <w:pgMar w:top="660" w:right="708" w:bottom="480" w:left="850" w:header="0" w:footer="293" w:gutter="0"/>
          <w:cols w:space="720"/>
        </w:sectPr>
      </w:pPr>
    </w:p>
    <w:p w14:paraId="47259124" w14:textId="77777777" w:rsidR="00024E26" w:rsidRPr="005A7C10" w:rsidRDefault="00000000">
      <w:pPr>
        <w:pStyle w:val="Textoindependiente"/>
        <w:spacing w:before="68" w:line="352" w:lineRule="auto"/>
        <w:ind w:left="245" w:right="50"/>
        <w:jc w:val="both"/>
        <w:rPr>
          <w:lang w:val="es-ES"/>
        </w:rPr>
      </w:pPr>
      <w:r w:rsidRPr="005A7C10">
        <w:rPr>
          <w:b/>
          <w:i/>
          <w:lang w:val="es-ES"/>
        </w:rPr>
        <w:lastRenderedPageBreak/>
        <w:t xml:space="preserve">[relevancia para el mercado único] </w:t>
      </w:r>
      <w:r w:rsidRPr="005A7C10">
        <w:rPr>
          <w:lang w:val="es-ES"/>
        </w:rPr>
        <w:t>Transparencia de las decisiones administrativas y las sanciones (incluida su publicación y las normas sobre la recopilación de datos relacionados) y respeto del principio de buena administración (incluida la obligación de la administración de motivar sus decisiones)</w:t>
      </w:r>
    </w:p>
    <w:p w14:paraId="073DE541" w14:textId="77777777" w:rsidR="00024E26" w:rsidRPr="005A7C10" w:rsidRDefault="00000000">
      <w:pPr>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6C90938D"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27264" behindDoc="1" locked="0" layoutInCell="1" allowOverlap="1" wp14:anchorId="0734894D" wp14:editId="058411E3">
                <wp:simplePos x="0" y="0"/>
                <wp:positionH relativeFrom="page">
                  <wp:posOffset>885825</wp:posOffset>
                </wp:positionH>
                <wp:positionV relativeFrom="paragraph">
                  <wp:posOffset>53932</wp:posOffset>
                </wp:positionV>
                <wp:extent cx="6191250" cy="390525"/>
                <wp:effectExtent l="0" t="0" r="0" b="0"/>
                <wp:wrapTopAndBottom/>
                <wp:docPr id="126" name="Graphic 1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674D8CD" id="Graphic 126" o:spid="_x0000_s1026" style="position:absolute;margin-left:69.75pt;margin-top:4.25pt;width:487.5pt;height:30.75pt;z-index:-1568921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0179771F" w14:textId="77777777" w:rsidR="00024E26" w:rsidRPr="005A7C10" w:rsidRDefault="00024E26">
      <w:pPr>
        <w:pStyle w:val="Textoindependiente"/>
        <w:spacing w:before="118"/>
        <w:rPr>
          <w:i/>
          <w:sz w:val="19"/>
          <w:lang w:val="es-ES"/>
        </w:rPr>
      </w:pPr>
    </w:p>
    <w:p w14:paraId="2BDB8D25" w14:textId="77777777" w:rsidR="00024E26" w:rsidRPr="005A7C10" w:rsidRDefault="00000000">
      <w:pPr>
        <w:pStyle w:val="Textoindependiente"/>
        <w:spacing w:line="352" w:lineRule="auto"/>
        <w:ind w:left="245" w:right="50"/>
        <w:jc w:val="both"/>
        <w:rPr>
          <w:lang w:val="es-ES"/>
        </w:rPr>
      </w:pPr>
      <w:r w:rsidRPr="005A7C10">
        <w:rPr>
          <w:b/>
          <w:i/>
          <w:lang w:val="es-ES"/>
        </w:rPr>
        <w:t xml:space="preserve">[Relevancia para </w:t>
      </w:r>
      <w:r w:rsidRPr="005A7C10">
        <w:rPr>
          <w:lang w:val="es-ES"/>
        </w:rPr>
        <w:t>el</w:t>
      </w:r>
      <w:r w:rsidRPr="005A7C10">
        <w:rPr>
          <w:b/>
          <w:i/>
          <w:lang w:val="es-ES"/>
        </w:rPr>
        <w:t xml:space="preserve"> mercado único] </w:t>
      </w:r>
      <w:r w:rsidRPr="005A7C10">
        <w:rPr>
          <w:lang w:val="es-ES"/>
        </w:rPr>
        <w:t>Revisión judicial de las decisiones administrativas: breve descripción del régimen general (en particular, el tribunal competente, el ámbito de aplicación, el efecto suspensivo, las medidas provisionales y cualquier norma específica aplicable o excepción al régimen general de revisión judicial).</w:t>
      </w:r>
    </w:p>
    <w:p w14:paraId="20C296B7" w14:textId="77777777" w:rsidR="00024E26" w:rsidRPr="005A7C10" w:rsidRDefault="00000000">
      <w:pPr>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641CBA64"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27776" behindDoc="1" locked="0" layoutInCell="1" allowOverlap="1" wp14:anchorId="36AEECCF" wp14:editId="6FBF95A4">
                <wp:simplePos x="0" y="0"/>
                <wp:positionH relativeFrom="page">
                  <wp:posOffset>885825</wp:posOffset>
                </wp:positionH>
                <wp:positionV relativeFrom="paragraph">
                  <wp:posOffset>53753</wp:posOffset>
                </wp:positionV>
                <wp:extent cx="6191250" cy="390525"/>
                <wp:effectExtent l="0" t="0" r="0" b="0"/>
                <wp:wrapTopAndBottom/>
                <wp:docPr id="127" name="Graphic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1502A80E" id="Graphic 127" o:spid="_x0000_s1026" style="position:absolute;margin-left:69.75pt;margin-top:4.25pt;width:487.5pt;height:30.75pt;z-index:-1568870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3D277099" w14:textId="77777777" w:rsidR="00024E26" w:rsidRPr="005A7C10" w:rsidRDefault="00024E26">
      <w:pPr>
        <w:pStyle w:val="Textoindependiente"/>
        <w:spacing w:before="26"/>
        <w:rPr>
          <w:i/>
          <w:lang w:val="es-ES"/>
        </w:rPr>
      </w:pPr>
    </w:p>
    <w:p w14:paraId="2D176CB5" w14:textId="77777777" w:rsidR="00024E26" w:rsidRPr="005A7C10" w:rsidRDefault="00000000">
      <w:pPr>
        <w:pStyle w:val="Textoindependiente"/>
        <w:spacing w:line="352" w:lineRule="auto"/>
        <w:ind w:left="245" w:right="224"/>
        <w:rPr>
          <w:lang w:val="es-ES"/>
        </w:rPr>
      </w:pPr>
      <w:r w:rsidRPr="005A7C10">
        <w:rPr>
          <w:b/>
          <w:i/>
          <w:lang w:val="es-ES"/>
        </w:rPr>
        <w:t xml:space="preserve">[relevancia para el mercado único] </w:t>
      </w:r>
      <w:r w:rsidRPr="005A7C10">
        <w:rPr>
          <w:lang w:val="es-ES"/>
        </w:rPr>
        <w:t>Salvaguardias (distintas de la revisión judicial) relativas a las decisiones o la inacción de las autoridades administrativas, incluidas las vías de recurso (por ejemplo, la revisión administrativa)</w:t>
      </w:r>
    </w:p>
    <w:p w14:paraId="76B22E66" w14:textId="77777777" w:rsidR="00024E26" w:rsidRPr="005A7C10" w:rsidRDefault="00000000">
      <w:pPr>
        <w:spacing w:before="1"/>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2CAAE64F"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28288" behindDoc="1" locked="0" layoutInCell="1" allowOverlap="1" wp14:anchorId="23DCA99E" wp14:editId="6363E1BF">
                <wp:simplePos x="0" y="0"/>
                <wp:positionH relativeFrom="page">
                  <wp:posOffset>885825</wp:posOffset>
                </wp:positionH>
                <wp:positionV relativeFrom="paragraph">
                  <wp:posOffset>53502</wp:posOffset>
                </wp:positionV>
                <wp:extent cx="6191250" cy="390525"/>
                <wp:effectExtent l="0" t="0" r="0" b="0"/>
                <wp:wrapTopAndBottom/>
                <wp:docPr id="128" name="Graphic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48A24830" id="Graphic 128" o:spid="_x0000_s1026" style="position:absolute;margin-left:69.75pt;margin-top:4.2pt;width:487.5pt;height:30.75pt;z-index:-1568819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335223DD" w14:textId="77777777" w:rsidR="00024E26" w:rsidRPr="005A7C10" w:rsidRDefault="00024E26">
      <w:pPr>
        <w:pStyle w:val="Textoindependiente"/>
        <w:spacing w:before="118"/>
        <w:rPr>
          <w:i/>
          <w:sz w:val="19"/>
          <w:lang w:val="es-ES"/>
        </w:rPr>
      </w:pPr>
    </w:p>
    <w:p w14:paraId="7136B3D8" w14:textId="77777777" w:rsidR="00024E26" w:rsidRPr="005A7C10" w:rsidRDefault="00000000">
      <w:pPr>
        <w:pStyle w:val="Textoindependiente"/>
        <w:spacing w:line="352" w:lineRule="auto"/>
        <w:ind w:left="245" w:right="50"/>
        <w:jc w:val="both"/>
        <w:rPr>
          <w:lang w:val="es-ES"/>
        </w:rPr>
      </w:pPr>
      <w:r w:rsidRPr="005A7C10">
        <w:rPr>
          <w:b/>
          <w:i/>
          <w:lang w:val="es-ES"/>
        </w:rPr>
        <w:t xml:space="preserve">[Relevancia para el mercado único] </w:t>
      </w:r>
      <w:r w:rsidRPr="005A7C10">
        <w:rPr>
          <w:lang w:val="es-ES"/>
        </w:rPr>
        <w:t>Normas y prácticas relacionadas con la aplicación por todos los tribunales, incluidas las jurisdicciones constitucionales, del procedimiento de decisión prejudicial (artículo 267 del TFUE)</w:t>
      </w:r>
    </w:p>
    <w:p w14:paraId="5A9E4826" w14:textId="77777777" w:rsidR="00024E26" w:rsidRPr="005A7C10" w:rsidRDefault="00000000">
      <w:pPr>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542BC30"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28800" behindDoc="1" locked="0" layoutInCell="1" allowOverlap="1" wp14:anchorId="09D843F1" wp14:editId="48B32913">
                <wp:simplePos x="0" y="0"/>
                <wp:positionH relativeFrom="page">
                  <wp:posOffset>885825</wp:posOffset>
                </wp:positionH>
                <wp:positionV relativeFrom="paragraph">
                  <wp:posOffset>54005</wp:posOffset>
                </wp:positionV>
                <wp:extent cx="6191250" cy="390525"/>
                <wp:effectExtent l="0" t="0" r="0" b="0"/>
                <wp:wrapTopAndBottom/>
                <wp:docPr id="129" name="Graphic 1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6D517445" id="Graphic 129" o:spid="_x0000_s1026" style="position:absolute;margin-left:69.75pt;margin-top:4.25pt;width:487.5pt;height:30.75pt;z-index:-1568768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6C3A43DE" w14:textId="77777777" w:rsidR="00024E26" w:rsidRPr="005A7C10" w:rsidRDefault="00024E26">
      <w:pPr>
        <w:pStyle w:val="Textoindependiente"/>
        <w:spacing w:before="118"/>
        <w:rPr>
          <w:i/>
          <w:sz w:val="19"/>
          <w:lang w:val="es-ES"/>
        </w:rPr>
      </w:pPr>
    </w:p>
    <w:p w14:paraId="124A91F7" w14:textId="77777777" w:rsidR="00024E26" w:rsidRDefault="00000000">
      <w:pPr>
        <w:pStyle w:val="Textoindependiente"/>
        <w:spacing w:line="352" w:lineRule="auto"/>
        <w:ind w:left="245" w:right="50"/>
        <w:jc w:val="both"/>
        <w:rPr>
          <w:lang w:val="es-ES"/>
        </w:rPr>
      </w:pPr>
      <w:r w:rsidRPr="005A7C10">
        <w:rPr>
          <w:b/>
          <w:i/>
          <w:lang w:val="es-ES"/>
        </w:rPr>
        <w:t xml:space="preserve">[Relevancia para el mercado único] </w:t>
      </w:r>
      <w:r w:rsidRPr="005A7C10">
        <w:rPr>
          <w:lang w:val="es-ES"/>
        </w:rPr>
        <w:t>Ejecución de las sentencias firmes por parte de la administración pública y las instituciones estatales y seguimiento de las sentencias supranacionales, incluidas las resoluciones del Tribunal Europeo de Derechos Humanos, así como recursos disponibles en caso de incumplimiento</w:t>
      </w:r>
    </w:p>
    <w:p w14:paraId="63075BDB" w14:textId="77777777" w:rsidR="00ED3262" w:rsidRPr="005A7C10" w:rsidRDefault="00ED3262">
      <w:pPr>
        <w:pStyle w:val="Textoindependiente"/>
        <w:spacing w:line="352" w:lineRule="auto"/>
        <w:ind w:left="245" w:right="50"/>
        <w:jc w:val="both"/>
        <w:rPr>
          <w:lang w:val="es-ES"/>
        </w:rPr>
      </w:pPr>
    </w:p>
    <w:p w14:paraId="51CE5D03" w14:textId="77777777" w:rsidR="00024E26" w:rsidRPr="005A7C10" w:rsidRDefault="00000000">
      <w:pPr>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74D32357"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29312" behindDoc="1" locked="0" layoutInCell="1" allowOverlap="1" wp14:anchorId="1C3BA468" wp14:editId="371EEFD7">
                <wp:simplePos x="0" y="0"/>
                <wp:positionH relativeFrom="page">
                  <wp:posOffset>885825</wp:posOffset>
                </wp:positionH>
                <wp:positionV relativeFrom="paragraph">
                  <wp:posOffset>53754</wp:posOffset>
                </wp:positionV>
                <wp:extent cx="6191250" cy="390525"/>
                <wp:effectExtent l="0" t="0" r="0" b="0"/>
                <wp:wrapTopAndBottom/>
                <wp:docPr id="130" name="Graphic 1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0895BDB7" id="Graphic 130" o:spid="_x0000_s1026" style="position:absolute;margin-left:69.75pt;margin-top:4.25pt;width:487.5pt;height:30.75pt;z-index:-1568716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62FFA5FB" w14:textId="77777777" w:rsidR="00024E26" w:rsidRPr="005A7C10" w:rsidRDefault="00024E26">
      <w:pPr>
        <w:pStyle w:val="Textoindependiente"/>
        <w:rPr>
          <w:i/>
          <w:sz w:val="5"/>
          <w:lang w:val="es-ES"/>
        </w:rPr>
        <w:sectPr w:rsidR="00024E26" w:rsidRPr="005A7C10">
          <w:pgSz w:w="11910" w:h="16840"/>
          <w:pgMar w:top="1000" w:right="708" w:bottom="480" w:left="850" w:header="0" w:footer="293" w:gutter="0"/>
          <w:cols w:space="720"/>
        </w:sectPr>
      </w:pPr>
    </w:p>
    <w:p w14:paraId="048F8540" w14:textId="77777777" w:rsidR="00024E26" w:rsidRPr="005A7C10" w:rsidRDefault="00000000">
      <w:pPr>
        <w:pStyle w:val="Textoindependiente"/>
        <w:spacing w:before="72" w:line="352" w:lineRule="auto"/>
        <w:ind w:left="245"/>
        <w:rPr>
          <w:lang w:val="es-ES"/>
        </w:rPr>
      </w:pPr>
      <w:r w:rsidRPr="005A7C10">
        <w:rPr>
          <w:spacing w:val="-2"/>
          <w:lang w:val="es-ES"/>
        </w:rPr>
        <w:lastRenderedPageBreak/>
        <w:t>Supervisión, incluida la de los tribunales, del uso de software de vigilancia intrusivo por parte de las autoridades nacionales</w:t>
      </w:r>
    </w:p>
    <w:p w14:paraId="10F78D6B" w14:textId="77777777" w:rsidR="00024E26" w:rsidRDefault="00000000">
      <w:pPr>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03F8F8F3" w14:textId="77777777" w:rsidR="00024E26" w:rsidRDefault="00000000">
      <w:pPr>
        <w:pStyle w:val="Textoindependiente"/>
        <w:spacing w:before="3"/>
        <w:rPr>
          <w:i/>
          <w:sz w:val="5"/>
        </w:rPr>
      </w:pPr>
      <w:r>
        <w:rPr>
          <w:i/>
          <w:noProof/>
          <w:sz w:val="5"/>
        </w:rPr>
        <mc:AlternateContent>
          <mc:Choice Requires="wps">
            <w:drawing>
              <wp:anchor distT="0" distB="0" distL="0" distR="0" simplePos="0" relativeHeight="487629824" behindDoc="1" locked="0" layoutInCell="1" allowOverlap="1" wp14:anchorId="38E3DE94" wp14:editId="18DE9495">
                <wp:simplePos x="0" y="0"/>
                <wp:positionH relativeFrom="page">
                  <wp:posOffset>885825</wp:posOffset>
                </wp:positionH>
                <wp:positionV relativeFrom="paragraph">
                  <wp:posOffset>53927</wp:posOffset>
                </wp:positionV>
                <wp:extent cx="6191250" cy="390525"/>
                <wp:effectExtent l="0" t="0" r="0" b="0"/>
                <wp:wrapTopAndBottom/>
                <wp:docPr id="131" name="Graphic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3C74918A" id="Graphic 131" o:spid="_x0000_s1026" style="position:absolute;margin-left:69.75pt;margin-top:4.25pt;width:487.5pt;height:30.75pt;z-index:-1568665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017322CD" w14:textId="77777777" w:rsidR="00024E26" w:rsidRDefault="00024E26">
      <w:pPr>
        <w:pStyle w:val="Textoindependiente"/>
        <w:spacing w:before="111"/>
        <w:rPr>
          <w:i/>
          <w:sz w:val="19"/>
        </w:rPr>
      </w:pPr>
    </w:p>
    <w:p w14:paraId="390ABF81" w14:textId="77777777" w:rsidR="00024E26" w:rsidRPr="005A7C10" w:rsidRDefault="00000000">
      <w:pPr>
        <w:pStyle w:val="Prrafodelista"/>
        <w:numPr>
          <w:ilvl w:val="1"/>
          <w:numId w:val="3"/>
        </w:numPr>
        <w:tabs>
          <w:tab w:val="left" w:pos="567"/>
        </w:tabs>
        <w:spacing w:before="1"/>
        <w:ind w:left="567" w:hanging="322"/>
        <w:rPr>
          <w:sz w:val="27"/>
          <w:lang w:val="es-ES"/>
        </w:rPr>
      </w:pPr>
      <w:r w:rsidRPr="005A7C10">
        <w:rPr>
          <w:spacing w:val="-2"/>
          <w:sz w:val="27"/>
          <w:lang w:val="es-ES"/>
        </w:rPr>
        <w:t>El marco propicio para la sociedad civil</w:t>
      </w:r>
    </w:p>
    <w:p w14:paraId="6C619812" w14:textId="77777777" w:rsidR="00024E26" w:rsidRPr="005A7C10" w:rsidRDefault="00024E26">
      <w:pPr>
        <w:pStyle w:val="Textoindependiente"/>
        <w:spacing w:before="134"/>
        <w:rPr>
          <w:lang w:val="es-ES"/>
        </w:rPr>
      </w:pPr>
    </w:p>
    <w:p w14:paraId="7713D888" w14:textId="77777777" w:rsidR="00024E26" w:rsidRPr="005A7C10" w:rsidRDefault="00000000">
      <w:pPr>
        <w:pStyle w:val="Textoindependiente"/>
        <w:spacing w:before="1" w:line="352" w:lineRule="auto"/>
        <w:ind w:left="245"/>
        <w:rPr>
          <w:lang w:val="es-ES"/>
        </w:rPr>
      </w:pPr>
      <w:r w:rsidRPr="005A7C10">
        <w:rPr>
          <w:spacing w:val="-2"/>
          <w:lang w:val="es-ES"/>
        </w:rPr>
        <w:t xml:space="preserve">Medidas relativas al marco normativo para las organizaciones de la sociedad civil y </w:t>
      </w:r>
      <w:r w:rsidRPr="005A7C10">
        <w:rPr>
          <w:lang w:val="es-ES"/>
        </w:rPr>
        <w:t>los defensores</w:t>
      </w:r>
      <w:r w:rsidRPr="005A7C10">
        <w:rPr>
          <w:spacing w:val="-2"/>
          <w:lang w:val="es-ES"/>
        </w:rPr>
        <w:t xml:space="preserve"> de los derechos humanos </w:t>
      </w:r>
      <w:r w:rsidRPr="005A7C10">
        <w:rPr>
          <w:lang w:val="es-ES"/>
        </w:rPr>
        <w:t>(por ejemplo, el marco jurídico y su aplicación en la práctica, incluidas las normas de registro, transparencia y disolución).</w:t>
      </w:r>
    </w:p>
    <w:p w14:paraId="4F66CC1F" w14:textId="77777777" w:rsidR="00024E26" w:rsidRDefault="00000000">
      <w:pPr>
        <w:spacing w:line="218" w:lineRule="exact"/>
        <w:ind w:left="395"/>
        <w:rPr>
          <w:i/>
          <w:color w:val="666666"/>
          <w:spacing w:val="-2"/>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FE93800" w14:textId="61F7D784" w:rsidR="005A7C10" w:rsidRPr="003043F7" w:rsidRDefault="005A7C10" w:rsidP="005A7C10">
      <w:pPr>
        <w:pStyle w:val="Prrafodelista"/>
        <w:widowControl/>
        <w:numPr>
          <w:ilvl w:val="0"/>
          <w:numId w:val="16"/>
        </w:numPr>
        <w:autoSpaceDE/>
        <w:autoSpaceDN/>
        <w:spacing w:after="160" w:line="259" w:lineRule="auto"/>
        <w:contextualSpacing/>
        <w:jc w:val="both"/>
        <w:rPr>
          <w:highlight w:val="yellow"/>
        </w:rPr>
      </w:pPr>
      <w:r w:rsidRPr="003043F7">
        <w:rPr>
          <w:highlight w:val="yellow"/>
          <w:lang w:val="es-ES"/>
        </w:rPr>
        <w:t>Unión Profesional creará una Comisión Especial que estudiará cómo prevenir y abordar los desastres naturales de gran magnitud</w:t>
      </w:r>
      <w:r w:rsidR="003043F7">
        <w:rPr>
          <w:highlight w:val="yellow"/>
          <w:lang w:val="es-ES"/>
        </w:rPr>
        <w:t xml:space="preserve"> (noticia también relacionada con la suspensión de plazos judiciales por estas causas)</w:t>
      </w:r>
      <w:r w:rsidRPr="003043F7">
        <w:rPr>
          <w:highlight w:val="yellow"/>
          <w:lang w:val="es-ES"/>
        </w:rPr>
        <w:t xml:space="preserve">.  </w:t>
      </w:r>
      <w:hyperlink r:id="rId42" w:history="1">
        <w:r w:rsidRPr="003043F7">
          <w:rPr>
            <w:rStyle w:val="Hipervnculo"/>
            <w:highlight w:val="yellow"/>
          </w:rPr>
          <w:t>https://www.abogacia.es/actualidad/noticias/union-profesional-creara-una-comision-especial-frente-a-los-desastres-naturales-de-gran-magnitud/</w:t>
        </w:r>
      </w:hyperlink>
    </w:p>
    <w:p w14:paraId="2B41A1CE" w14:textId="77777777" w:rsidR="005A7C10" w:rsidRPr="005A7C10" w:rsidRDefault="005A7C10">
      <w:pPr>
        <w:spacing w:line="218" w:lineRule="exact"/>
        <w:ind w:left="395"/>
        <w:rPr>
          <w:i/>
          <w:sz w:val="19"/>
        </w:rPr>
      </w:pPr>
    </w:p>
    <w:p w14:paraId="35B19EB3" w14:textId="77777777" w:rsidR="00024E26" w:rsidRPr="005A7C10" w:rsidRDefault="00000000">
      <w:pPr>
        <w:pStyle w:val="Textoindependiente"/>
        <w:spacing w:before="2"/>
        <w:rPr>
          <w:i/>
          <w:sz w:val="5"/>
        </w:rPr>
      </w:pPr>
      <w:r>
        <w:rPr>
          <w:i/>
          <w:noProof/>
          <w:sz w:val="5"/>
        </w:rPr>
        <mc:AlternateContent>
          <mc:Choice Requires="wps">
            <w:drawing>
              <wp:anchor distT="0" distB="0" distL="0" distR="0" simplePos="0" relativeHeight="487630336" behindDoc="1" locked="0" layoutInCell="1" allowOverlap="1" wp14:anchorId="2DF6D02D" wp14:editId="709D2317">
                <wp:simplePos x="0" y="0"/>
                <wp:positionH relativeFrom="page">
                  <wp:posOffset>885825</wp:posOffset>
                </wp:positionH>
                <wp:positionV relativeFrom="paragraph">
                  <wp:posOffset>53371</wp:posOffset>
                </wp:positionV>
                <wp:extent cx="6191250" cy="390525"/>
                <wp:effectExtent l="0" t="0" r="0" b="0"/>
                <wp:wrapTopAndBottom/>
                <wp:docPr id="132" name="Graphic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336E8DA9" id="Graphic 132" o:spid="_x0000_s1026" style="position:absolute;margin-left:69.75pt;margin-top:4.2pt;width:487.5pt;height:30.75pt;z-index:-15686144;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7A21FFE8" w14:textId="77777777" w:rsidR="00024E26" w:rsidRPr="005A7C10" w:rsidRDefault="00024E26">
      <w:pPr>
        <w:pStyle w:val="Textoindependiente"/>
        <w:spacing w:before="111"/>
        <w:rPr>
          <w:i/>
          <w:sz w:val="19"/>
        </w:rPr>
      </w:pPr>
    </w:p>
    <w:p w14:paraId="0563610B" w14:textId="77777777" w:rsidR="00024E26" w:rsidRPr="005A7C10" w:rsidRDefault="00000000">
      <w:pPr>
        <w:pStyle w:val="Textoindependiente"/>
        <w:spacing w:before="1" w:line="352" w:lineRule="auto"/>
        <w:ind w:left="245" w:right="50"/>
        <w:jc w:val="both"/>
        <w:rPr>
          <w:lang w:val="es-ES"/>
        </w:rPr>
      </w:pPr>
      <w:r w:rsidRPr="005A7C10">
        <w:rPr>
          <w:lang w:val="es-ES"/>
        </w:rPr>
        <w:t xml:space="preserve">Normas y prácticas que repercuten en el funcionamiento eficaz y la seguridad de las organizaciones de la sociedad civil y los defensores de los derechos humanos. Esto incluye medidas para protegerlos de agresiones —verbales, físicas o en línea—, intimidación, amenazas legales, incluidas las demandas estratégicas contra la participación pública (SLAPP), narrativas negativas o campañas de desprestigio, medidas que puedan afectar a la percepción pública de las organizaciones de la sociedad civil, etc. También incluye medidas para supervisar las amenazas o agresiones y servicios de apoyo específicos, así como </w:t>
      </w:r>
      <w:r w:rsidRPr="005A7C10">
        <w:rPr>
          <w:spacing w:val="-2"/>
          <w:lang w:val="es-ES"/>
        </w:rPr>
        <w:t>los recursos</w:t>
      </w:r>
      <w:r w:rsidRPr="005A7C10">
        <w:rPr>
          <w:lang w:val="es-ES"/>
        </w:rPr>
        <w:t xml:space="preserve"> disponibles.</w:t>
      </w:r>
    </w:p>
    <w:p w14:paraId="508E9CEA" w14:textId="77777777" w:rsidR="00024E26" w:rsidRPr="005A7C10" w:rsidRDefault="00000000">
      <w:pPr>
        <w:spacing w:line="216" w:lineRule="exact"/>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0A26A683"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30848" behindDoc="1" locked="0" layoutInCell="1" allowOverlap="1" wp14:anchorId="575813E7" wp14:editId="69006A25">
                <wp:simplePos x="0" y="0"/>
                <wp:positionH relativeFrom="page">
                  <wp:posOffset>885825</wp:posOffset>
                </wp:positionH>
                <wp:positionV relativeFrom="paragraph">
                  <wp:posOffset>53465</wp:posOffset>
                </wp:positionV>
                <wp:extent cx="6191250" cy="390525"/>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3A599B38" id="Graphic 133" o:spid="_x0000_s1026" style="position:absolute;margin-left:69.75pt;margin-top:4.2pt;width:487.5pt;height:30.75pt;z-index:-15685632;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3F813E43" w14:textId="77777777" w:rsidR="00ED3262" w:rsidRPr="00C526EB" w:rsidRDefault="00ED3262" w:rsidP="00ED3262">
      <w:pPr>
        <w:pStyle w:val="Textoindependiente"/>
        <w:spacing w:line="352" w:lineRule="auto"/>
        <w:jc w:val="both"/>
        <w:rPr>
          <w:rFonts w:eastAsiaTheme="minorHAnsi"/>
          <w:kern w:val="2"/>
          <w:sz w:val="22"/>
          <w:szCs w:val="22"/>
          <w:highlight w:val="yellow"/>
          <w:lang w:val="es-ES"/>
          <w14:ligatures w14:val="standardContextual"/>
        </w:rPr>
      </w:pPr>
      <w:r>
        <w:rPr>
          <w:rFonts w:eastAsiaTheme="minorHAnsi"/>
          <w:kern w:val="2"/>
          <w:sz w:val="22"/>
          <w:szCs w:val="22"/>
          <w:highlight w:val="yellow"/>
          <w:lang w:val="es-ES"/>
          <w14:ligatures w14:val="standardContextual"/>
        </w:rPr>
        <w:t>El</w:t>
      </w:r>
      <w:r w:rsidRPr="00C526EB">
        <w:rPr>
          <w:rFonts w:eastAsiaTheme="minorHAnsi"/>
          <w:kern w:val="2"/>
          <w:sz w:val="22"/>
          <w:szCs w:val="22"/>
          <w:highlight w:val="yellow"/>
          <w:lang w:val="es-ES"/>
          <w14:ligatures w14:val="standardContextual"/>
        </w:rPr>
        <w:t xml:space="preserve"> CGAE se ha adherido a un comunicado de Unión profesional sobre las profesiones colegiadas en relación con </w:t>
      </w:r>
      <w:proofErr w:type="gramStart"/>
      <w:r w:rsidRPr="00C526EB">
        <w:rPr>
          <w:rFonts w:eastAsiaTheme="minorHAnsi"/>
          <w:kern w:val="2"/>
          <w:sz w:val="22"/>
          <w:szCs w:val="22"/>
          <w:highlight w:val="yellow"/>
          <w:lang w:val="es-ES"/>
          <w14:ligatures w14:val="standardContextual"/>
        </w:rPr>
        <w:t>Venezuela ,</w:t>
      </w:r>
      <w:proofErr w:type="gramEnd"/>
      <w:r w:rsidRPr="00C526EB">
        <w:rPr>
          <w:rFonts w:eastAsiaTheme="minorHAnsi"/>
          <w:kern w:val="2"/>
          <w:sz w:val="22"/>
          <w:szCs w:val="22"/>
          <w:highlight w:val="yellow"/>
          <w:lang w:val="es-ES"/>
          <w14:ligatures w14:val="standardContextual"/>
        </w:rPr>
        <w:t xml:space="preserve"> ha celebrado su Congreso de </w:t>
      </w:r>
      <w:proofErr w:type="spellStart"/>
      <w:r w:rsidRPr="00C526EB">
        <w:rPr>
          <w:rFonts w:eastAsiaTheme="minorHAnsi"/>
          <w:kern w:val="2"/>
          <w:sz w:val="22"/>
          <w:szCs w:val="22"/>
          <w:highlight w:val="yellow"/>
          <w:lang w:val="es-ES"/>
          <w14:ligatures w14:val="standardContextual"/>
        </w:rPr>
        <w:t>DDHHs</w:t>
      </w:r>
      <w:proofErr w:type="spellEnd"/>
      <w:r w:rsidRPr="00C526EB">
        <w:rPr>
          <w:rFonts w:eastAsiaTheme="minorHAnsi"/>
          <w:kern w:val="2"/>
          <w:sz w:val="22"/>
          <w:szCs w:val="22"/>
          <w:highlight w:val="yellow"/>
          <w:lang w:val="es-ES"/>
          <w14:ligatures w14:val="standardContextual"/>
        </w:rPr>
        <w:t xml:space="preserve"> </w:t>
      </w:r>
      <w:r>
        <w:rPr>
          <w:rFonts w:eastAsiaTheme="minorHAnsi"/>
          <w:kern w:val="2"/>
          <w:sz w:val="22"/>
          <w:szCs w:val="22"/>
          <w:highlight w:val="yellow"/>
          <w:lang w:val="es-ES"/>
          <w14:ligatures w14:val="standardContextual"/>
        </w:rPr>
        <w:t xml:space="preserve">en colaboración con su “Fundación Abogacía y </w:t>
      </w:r>
      <w:proofErr w:type="spellStart"/>
      <w:r>
        <w:rPr>
          <w:rFonts w:eastAsiaTheme="minorHAnsi"/>
          <w:kern w:val="2"/>
          <w:sz w:val="22"/>
          <w:szCs w:val="22"/>
          <w:highlight w:val="yellow"/>
          <w:lang w:val="es-ES"/>
          <w14:ligatures w14:val="standardContextual"/>
        </w:rPr>
        <w:t>DDHHs</w:t>
      </w:r>
      <w:proofErr w:type="spellEnd"/>
      <w:r>
        <w:rPr>
          <w:rFonts w:eastAsiaTheme="minorHAnsi"/>
          <w:kern w:val="2"/>
          <w:sz w:val="22"/>
          <w:szCs w:val="22"/>
          <w:highlight w:val="yellow"/>
          <w:lang w:val="es-ES"/>
          <w14:ligatures w14:val="standardContextual"/>
        </w:rPr>
        <w:t xml:space="preserve">” </w:t>
      </w:r>
      <w:r w:rsidRPr="00C526EB">
        <w:rPr>
          <w:rFonts w:eastAsiaTheme="minorHAnsi"/>
          <w:kern w:val="2"/>
          <w:sz w:val="22"/>
          <w:szCs w:val="22"/>
          <w:highlight w:val="yellow"/>
          <w:lang w:val="es-ES"/>
          <w14:ligatures w14:val="standardContextual"/>
        </w:rPr>
        <w:t xml:space="preserve">centrado en la protección de defensores de </w:t>
      </w:r>
      <w:proofErr w:type="spellStart"/>
      <w:r w:rsidRPr="00C526EB">
        <w:rPr>
          <w:rFonts w:eastAsiaTheme="minorHAnsi"/>
          <w:kern w:val="2"/>
          <w:sz w:val="22"/>
          <w:szCs w:val="22"/>
          <w:highlight w:val="yellow"/>
          <w:lang w:val="es-ES"/>
          <w14:ligatures w14:val="standardContextual"/>
        </w:rPr>
        <w:t>DDHHs</w:t>
      </w:r>
      <w:proofErr w:type="spellEnd"/>
      <w:r w:rsidRPr="00C526EB">
        <w:rPr>
          <w:rFonts w:eastAsiaTheme="minorHAnsi"/>
          <w:kern w:val="2"/>
          <w:sz w:val="22"/>
          <w:szCs w:val="22"/>
          <w:highlight w:val="yellow"/>
          <w:lang w:val="es-ES"/>
          <w14:ligatures w14:val="standardContextual"/>
        </w:rPr>
        <w:t xml:space="preserve"> </w:t>
      </w:r>
      <w:proofErr w:type="gramStart"/>
      <w:r w:rsidRPr="00C526EB">
        <w:rPr>
          <w:rFonts w:eastAsiaTheme="minorHAnsi"/>
          <w:kern w:val="2"/>
          <w:sz w:val="22"/>
          <w:szCs w:val="22"/>
          <w:highlight w:val="yellow"/>
          <w:lang w:val="es-ES"/>
          <w14:ligatures w14:val="standardContextual"/>
        </w:rPr>
        <w:t>y  ha</w:t>
      </w:r>
      <w:proofErr w:type="gramEnd"/>
      <w:r w:rsidRPr="00C526EB">
        <w:rPr>
          <w:rFonts w:eastAsiaTheme="minorHAnsi"/>
          <w:kern w:val="2"/>
          <w:sz w:val="22"/>
          <w:szCs w:val="22"/>
          <w:highlight w:val="yellow"/>
          <w:lang w:val="es-ES"/>
          <w14:ligatures w14:val="standardContextual"/>
        </w:rPr>
        <w:t xml:space="preserve"> asistido </w:t>
      </w:r>
      <w:proofErr w:type="gramStart"/>
      <w:r w:rsidRPr="00C526EB">
        <w:rPr>
          <w:rFonts w:eastAsiaTheme="minorHAnsi"/>
          <w:kern w:val="2"/>
          <w:sz w:val="22"/>
          <w:szCs w:val="22"/>
          <w:highlight w:val="yellow"/>
          <w:lang w:val="es-ES"/>
          <w14:ligatures w14:val="standardContextual"/>
        </w:rPr>
        <w:t>al  juicio</w:t>
      </w:r>
      <w:proofErr w:type="gramEnd"/>
      <w:r w:rsidRPr="00C526EB">
        <w:rPr>
          <w:rFonts w:eastAsiaTheme="minorHAnsi"/>
          <w:kern w:val="2"/>
          <w:sz w:val="22"/>
          <w:szCs w:val="22"/>
          <w:highlight w:val="yellow"/>
          <w:lang w:val="es-ES"/>
          <w14:ligatures w14:val="standardContextual"/>
        </w:rPr>
        <w:t xml:space="preserve"> contra el exdecano de </w:t>
      </w:r>
      <w:proofErr w:type="spellStart"/>
      <w:r w:rsidRPr="00C526EB">
        <w:rPr>
          <w:rFonts w:eastAsiaTheme="minorHAnsi"/>
          <w:kern w:val="2"/>
          <w:sz w:val="22"/>
          <w:szCs w:val="22"/>
          <w:highlight w:val="yellow"/>
          <w:lang w:val="es-ES"/>
          <w14:ligatures w14:val="standardContextual"/>
        </w:rPr>
        <w:t>Istambul</w:t>
      </w:r>
      <w:proofErr w:type="spellEnd"/>
      <w:r w:rsidRPr="00C526EB">
        <w:rPr>
          <w:rFonts w:eastAsiaTheme="minorHAnsi"/>
          <w:kern w:val="2"/>
          <w:sz w:val="22"/>
          <w:szCs w:val="22"/>
          <w:highlight w:val="yellow"/>
          <w:lang w:val="es-ES"/>
          <w14:ligatures w14:val="standardContextual"/>
        </w:rPr>
        <w:t xml:space="preserve">, continuando su labor en el marco del Observatorio Internacional de la </w:t>
      </w:r>
      <w:proofErr w:type="gramStart"/>
      <w:r w:rsidRPr="00C526EB">
        <w:rPr>
          <w:rFonts w:eastAsiaTheme="minorHAnsi"/>
          <w:kern w:val="2"/>
          <w:sz w:val="22"/>
          <w:szCs w:val="22"/>
          <w:highlight w:val="yellow"/>
          <w:lang w:val="es-ES"/>
          <w14:ligatures w14:val="standardContextual"/>
        </w:rPr>
        <w:t>Abogacía  en</w:t>
      </w:r>
      <w:proofErr w:type="gramEnd"/>
      <w:r w:rsidRPr="00C526EB">
        <w:rPr>
          <w:rFonts w:eastAsiaTheme="minorHAnsi"/>
          <w:kern w:val="2"/>
          <w:sz w:val="22"/>
          <w:szCs w:val="22"/>
          <w:highlight w:val="yellow"/>
          <w:lang w:val="es-ES"/>
          <w14:ligatures w14:val="standardContextual"/>
        </w:rPr>
        <w:t xml:space="preserve"> Riesgo (OIAD)</w:t>
      </w:r>
    </w:p>
    <w:p w14:paraId="5C3E6D8D" w14:textId="77777777" w:rsidR="00ED3262" w:rsidRDefault="00ED3262" w:rsidP="00ED3262">
      <w:pPr>
        <w:pStyle w:val="Textoindependiente"/>
        <w:spacing w:line="352" w:lineRule="auto"/>
        <w:jc w:val="both"/>
        <w:rPr>
          <w:rFonts w:eastAsiaTheme="minorHAnsi"/>
          <w:color w:val="709FDB" w:themeColor="text2" w:themeTint="80"/>
          <w:kern w:val="2"/>
          <w:sz w:val="22"/>
          <w:szCs w:val="22"/>
          <w:highlight w:val="yellow"/>
          <w:u w:val="single"/>
          <w:lang w:val="es-ES"/>
          <w14:ligatures w14:val="standardContextual"/>
        </w:rPr>
      </w:pPr>
      <w:hyperlink r:id="rId43" w:history="1">
        <w:r w:rsidRPr="00C526EB">
          <w:rPr>
            <w:rFonts w:eastAsiaTheme="minorHAnsi"/>
            <w:color w:val="709FDB" w:themeColor="text2" w:themeTint="80"/>
            <w:kern w:val="2"/>
            <w:sz w:val="22"/>
            <w:szCs w:val="22"/>
            <w:highlight w:val="yellow"/>
            <w:u w:val="single"/>
            <w:lang w:val="es-ES"/>
            <w14:ligatures w14:val="standardContextual"/>
          </w:rPr>
          <w:t>La Abogacía Española entrega sus Premios Derechos Humanos Carlos Carnicer dedicados a proteger a la abogacía defensora – Abogacía Española</w:t>
        </w:r>
      </w:hyperlink>
    </w:p>
    <w:p w14:paraId="61FD9290" w14:textId="77777777" w:rsidR="00ED3262" w:rsidRDefault="00ED3262" w:rsidP="00ED3262">
      <w:pPr>
        <w:pStyle w:val="Textoindependiente"/>
        <w:spacing w:line="352" w:lineRule="auto"/>
        <w:jc w:val="both"/>
        <w:rPr>
          <w:rFonts w:eastAsiaTheme="minorHAnsi"/>
          <w:color w:val="709FDB" w:themeColor="text2" w:themeTint="80"/>
          <w:kern w:val="2"/>
          <w:sz w:val="22"/>
          <w:szCs w:val="22"/>
          <w:highlight w:val="yellow"/>
          <w:u w:val="single"/>
          <w:lang w:val="es-ES"/>
          <w14:ligatures w14:val="standardContextual"/>
        </w:rPr>
      </w:pPr>
      <w:r w:rsidRPr="00064DEC">
        <w:rPr>
          <w:rFonts w:eastAsiaTheme="minorHAnsi"/>
          <w:color w:val="709FDB" w:themeColor="text2" w:themeTint="80"/>
          <w:kern w:val="2"/>
          <w:sz w:val="22"/>
          <w:szCs w:val="22"/>
          <w:highlight w:val="yellow"/>
          <w:u w:val="single"/>
          <w:lang w:val="es-ES"/>
          <w14:ligatures w14:val="standardContextual"/>
        </w:rPr>
        <w:t>https://www.abogacia.es/actualidad/noticias/la-abogacia-comparte-el-comunicado-de-union-profesional-ante-la-situacion-actual-en-venezuela/</w:t>
      </w:r>
    </w:p>
    <w:p w14:paraId="57EC7E12" w14:textId="77777777" w:rsidR="00ED3262" w:rsidRDefault="00ED3262" w:rsidP="00ED3262">
      <w:pPr>
        <w:pStyle w:val="Textoindependiente"/>
        <w:spacing w:line="352" w:lineRule="auto"/>
        <w:jc w:val="both"/>
        <w:rPr>
          <w:rFonts w:eastAsiaTheme="minorHAnsi"/>
          <w:color w:val="709FDB" w:themeColor="text2" w:themeTint="80"/>
          <w:kern w:val="2"/>
          <w:sz w:val="22"/>
          <w:szCs w:val="22"/>
          <w:highlight w:val="yellow"/>
          <w:u w:val="single"/>
          <w:lang w:val="es-ES"/>
          <w14:ligatures w14:val="standardContextual"/>
        </w:rPr>
      </w:pPr>
    </w:p>
    <w:p w14:paraId="07CE997B" w14:textId="77777777" w:rsidR="00024E26" w:rsidRPr="005A7C10" w:rsidRDefault="00024E26">
      <w:pPr>
        <w:pStyle w:val="Textoindependiente"/>
        <w:spacing w:before="111"/>
        <w:rPr>
          <w:i/>
          <w:sz w:val="19"/>
          <w:lang w:val="es-ES"/>
        </w:rPr>
      </w:pPr>
    </w:p>
    <w:p w14:paraId="1BE2A567" w14:textId="77777777" w:rsidR="00024E26" w:rsidRPr="005A7C10" w:rsidRDefault="00000000">
      <w:pPr>
        <w:pStyle w:val="Textoindependiente"/>
        <w:spacing w:line="352" w:lineRule="auto"/>
        <w:ind w:left="245" w:right="50"/>
        <w:jc w:val="both"/>
        <w:rPr>
          <w:lang w:val="es-ES"/>
        </w:rPr>
      </w:pPr>
      <w:r w:rsidRPr="005A7C10">
        <w:rPr>
          <w:lang w:val="es-ES"/>
        </w:rPr>
        <w:t>Organización del apoyo financiero a las organizaciones de la sociedad civil y los defensores de los derechos humanos (por ejemplo, marco para garantizar el acceso a la financiación y la viabilidad financiera, sistemas fiscales/de incentivos/de donaciones, medidas para garantizar una distribución equitativa de la financiación).</w:t>
      </w:r>
    </w:p>
    <w:p w14:paraId="60F03037" w14:textId="77777777" w:rsidR="00024E26" w:rsidRDefault="00000000">
      <w:pPr>
        <w:spacing w:line="218" w:lineRule="exact"/>
        <w:ind w:left="395"/>
        <w:rPr>
          <w:i/>
          <w:sz w:val="19"/>
        </w:rPr>
      </w:pPr>
      <w:r>
        <w:rPr>
          <w:i/>
          <w:color w:val="666666"/>
          <w:sz w:val="19"/>
        </w:rPr>
        <w:t xml:space="preserve">5000 </w:t>
      </w:r>
      <w:proofErr w:type="spellStart"/>
      <w:r>
        <w:rPr>
          <w:i/>
          <w:color w:val="666666"/>
          <w:sz w:val="19"/>
        </w:rPr>
        <w:t>caracteres</w:t>
      </w:r>
      <w:proofErr w:type="spellEnd"/>
      <w:r>
        <w:rPr>
          <w:i/>
          <w:color w:val="666666"/>
          <w:sz w:val="19"/>
        </w:rPr>
        <w:t xml:space="preserve"> </w:t>
      </w:r>
      <w:proofErr w:type="spellStart"/>
      <w:r>
        <w:rPr>
          <w:i/>
          <w:color w:val="666666"/>
          <w:spacing w:val="-2"/>
          <w:sz w:val="19"/>
        </w:rPr>
        <w:t>como</w:t>
      </w:r>
      <w:proofErr w:type="spellEnd"/>
      <w:r>
        <w:rPr>
          <w:i/>
          <w:color w:val="666666"/>
          <w:spacing w:val="-2"/>
          <w:sz w:val="19"/>
        </w:rPr>
        <w:t xml:space="preserve"> </w:t>
      </w:r>
      <w:proofErr w:type="spellStart"/>
      <w:r>
        <w:rPr>
          <w:i/>
          <w:color w:val="666666"/>
          <w:spacing w:val="-2"/>
          <w:sz w:val="19"/>
        </w:rPr>
        <w:t>máximo</w:t>
      </w:r>
      <w:proofErr w:type="spellEnd"/>
    </w:p>
    <w:p w14:paraId="797698FA" w14:textId="77777777" w:rsidR="00024E26" w:rsidRDefault="00000000">
      <w:pPr>
        <w:pStyle w:val="Textoindependiente"/>
        <w:spacing w:before="3"/>
        <w:rPr>
          <w:i/>
          <w:sz w:val="5"/>
        </w:rPr>
      </w:pPr>
      <w:r>
        <w:rPr>
          <w:i/>
          <w:noProof/>
          <w:sz w:val="5"/>
        </w:rPr>
        <mc:AlternateContent>
          <mc:Choice Requires="wps">
            <w:drawing>
              <wp:anchor distT="0" distB="0" distL="0" distR="0" simplePos="0" relativeHeight="487631360" behindDoc="1" locked="0" layoutInCell="1" allowOverlap="1" wp14:anchorId="4FF4F67D" wp14:editId="03A10C94">
                <wp:simplePos x="0" y="0"/>
                <wp:positionH relativeFrom="page">
                  <wp:posOffset>885825</wp:posOffset>
                </wp:positionH>
                <wp:positionV relativeFrom="paragraph">
                  <wp:posOffset>53846</wp:posOffset>
                </wp:positionV>
                <wp:extent cx="6191250" cy="390525"/>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509C57D9" id="Graphic 134" o:spid="_x0000_s1026" style="position:absolute;margin-left:69.75pt;margin-top:4.25pt;width:487.5pt;height:30.75pt;z-index:-15685120;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55D79758" w14:textId="77777777" w:rsidR="00024E26" w:rsidRDefault="00024E26">
      <w:pPr>
        <w:pStyle w:val="Textoindependiente"/>
        <w:spacing w:before="111"/>
        <w:rPr>
          <w:i/>
          <w:sz w:val="19"/>
        </w:rPr>
      </w:pPr>
    </w:p>
    <w:p w14:paraId="4AD5F3CB" w14:textId="77777777" w:rsidR="00024E26" w:rsidRPr="005A7C10" w:rsidRDefault="00000000">
      <w:pPr>
        <w:pStyle w:val="Prrafodelista"/>
        <w:numPr>
          <w:ilvl w:val="1"/>
          <w:numId w:val="3"/>
        </w:numPr>
        <w:tabs>
          <w:tab w:val="left" w:pos="550"/>
        </w:tabs>
        <w:spacing w:before="1"/>
        <w:ind w:left="550" w:hanging="305"/>
        <w:rPr>
          <w:sz w:val="27"/>
          <w:lang w:val="es-ES"/>
        </w:rPr>
      </w:pPr>
      <w:r w:rsidRPr="005A7C10">
        <w:rPr>
          <w:spacing w:val="-2"/>
          <w:sz w:val="27"/>
          <w:lang w:val="es-ES"/>
        </w:rPr>
        <w:t>Iniciativas para fomentar una cultura del Estado de Derecho.</w:t>
      </w:r>
    </w:p>
    <w:p w14:paraId="0CF69102" w14:textId="77777777" w:rsidR="00024E26" w:rsidRPr="005A7C10" w:rsidRDefault="00024E26">
      <w:pPr>
        <w:pStyle w:val="Textoindependiente"/>
        <w:spacing w:before="134"/>
        <w:rPr>
          <w:lang w:val="es-ES"/>
        </w:rPr>
      </w:pPr>
    </w:p>
    <w:p w14:paraId="6A25C088" w14:textId="77777777" w:rsidR="00024E26" w:rsidRPr="005A7C10" w:rsidRDefault="00000000">
      <w:pPr>
        <w:pStyle w:val="Textoindependiente"/>
        <w:spacing w:before="1" w:line="352" w:lineRule="auto"/>
        <w:ind w:left="245" w:right="50"/>
        <w:jc w:val="both"/>
        <w:rPr>
          <w:lang w:val="es-ES"/>
        </w:rPr>
      </w:pPr>
      <w:r w:rsidRPr="005A7C10">
        <w:rPr>
          <w:lang w:val="es-ES"/>
        </w:rPr>
        <w:t>Si se han producido avances relacionados con iniciativas para fomentar una cultura del Estado de Derecho, especifique cuáles (por ejemplo, debates en los parlamentos nacionales sobre el Estado de Derecho, campañas de información pública sobre cuestiones relacionadas con el Estado de Derecho, contribuciones de la sociedad civil, iniciativas educativas, etc.).</w:t>
      </w:r>
    </w:p>
    <w:p w14:paraId="341ECE85" w14:textId="60C424D3" w:rsidR="00FC6397" w:rsidRPr="00FC6397" w:rsidRDefault="00FC6397" w:rsidP="00FC6397">
      <w:pPr>
        <w:pStyle w:val="Textoindependiente"/>
        <w:jc w:val="both"/>
        <w:rPr>
          <w:rFonts w:eastAsiaTheme="minorHAnsi"/>
          <w:kern w:val="2"/>
          <w:sz w:val="22"/>
          <w:szCs w:val="22"/>
          <w:highlight w:val="yellow"/>
          <w:lang w:val="es-ES"/>
          <w14:ligatures w14:val="standardContextual"/>
        </w:rPr>
      </w:pPr>
      <w:r w:rsidRPr="00FC6397">
        <w:rPr>
          <w:rFonts w:eastAsiaTheme="minorHAnsi"/>
          <w:kern w:val="2"/>
          <w:sz w:val="22"/>
          <w:szCs w:val="22"/>
          <w:highlight w:val="yellow"/>
          <w:lang w:val="es-ES"/>
          <w14:ligatures w14:val="standardContextual"/>
        </w:rPr>
        <w:t>El presidente de la Abogacía Española, Salvador González, ha mantenido su primer encuentro institucional con el Defensor del Pueblo, Ángel Gabilondo.</w:t>
      </w:r>
    </w:p>
    <w:p w14:paraId="22DF6435" w14:textId="2F73E9BA" w:rsidR="00FC6397" w:rsidRPr="00FC6397" w:rsidRDefault="00FC6397" w:rsidP="00FC6397">
      <w:pPr>
        <w:pStyle w:val="Textoindependiente"/>
        <w:jc w:val="both"/>
        <w:rPr>
          <w:rFonts w:eastAsiaTheme="minorHAnsi"/>
          <w:kern w:val="2"/>
          <w:sz w:val="22"/>
          <w:szCs w:val="22"/>
          <w:highlight w:val="yellow"/>
          <w:lang w:val="es-ES"/>
          <w14:ligatures w14:val="standardContextual"/>
        </w:rPr>
      </w:pPr>
      <w:r w:rsidRPr="00FC6397">
        <w:rPr>
          <w:rFonts w:eastAsiaTheme="minorHAnsi"/>
          <w:kern w:val="2"/>
          <w:sz w:val="22"/>
          <w:szCs w:val="22"/>
          <w:highlight w:val="yellow"/>
          <w:lang w:val="es-ES"/>
          <w14:ligatures w14:val="standardContextual"/>
        </w:rPr>
        <w:t>Durante la reunión, ambos expresaron la voluntad de reforzar y ampliar las vías de cooperación entre ambas instituciones, especialmente en la protección de los colectivos más vulnerables.</w:t>
      </w:r>
      <w:r>
        <w:rPr>
          <w:rFonts w:eastAsiaTheme="minorHAnsi"/>
          <w:kern w:val="2"/>
          <w:sz w:val="22"/>
          <w:szCs w:val="22"/>
          <w:highlight w:val="yellow"/>
          <w:lang w:val="es-ES"/>
          <w14:ligatures w14:val="standardContextual"/>
        </w:rPr>
        <w:t xml:space="preserve"> </w:t>
      </w:r>
      <w:r w:rsidRPr="00FC6397">
        <w:rPr>
          <w:rFonts w:eastAsiaTheme="minorHAnsi"/>
          <w:kern w:val="2"/>
          <w:sz w:val="22"/>
          <w:szCs w:val="22"/>
          <w:highlight w:val="yellow"/>
          <w:lang w:val="es-ES"/>
          <w14:ligatures w14:val="standardContextual"/>
        </w:rPr>
        <w:t xml:space="preserve">En el encuentro, el </w:t>
      </w:r>
      <w:proofErr w:type="gramStart"/>
      <w:r w:rsidRPr="00FC6397">
        <w:rPr>
          <w:rFonts w:eastAsiaTheme="minorHAnsi"/>
          <w:kern w:val="2"/>
          <w:sz w:val="22"/>
          <w:szCs w:val="22"/>
          <w:highlight w:val="yellow"/>
          <w:lang w:val="es-ES"/>
          <w14:ligatures w14:val="standardContextual"/>
        </w:rPr>
        <w:t>presidente  del</w:t>
      </w:r>
      <w:proofErr w:type="gramEnd"/>
      <w:r w:rsidRPr="00FC6397">
        <w:rPr>
          <w:rFonts w:eastAsiaTheme="minorHAnsi"/>
          <w:kern w:val="2"/>
          <w:sz w:val="22"/>
          <w:szCs w:val="22"/>
          <w:highlight w:val="yellow"/>
          <w:lang w:val="es-ES"/>
          <w14:ligatures w14:val="standardContextual"/>
        </w:rPr>
        <w:t xml:space="preserve"> Consejo informó al Defensor del Pueblo </w:t>
      </w:r>
      <w:proofErr w:type="gramStart"/>
      <w:r w:rsidRPr="00FC6397">
        <w:rPr>
          <w:rFonts w:eastAsiaTheme="minorHAnsi"/>
          <w:kern w:val="2"/>
          <w:sz w:val="22"/>
          <w:szCs w:val="22"/>
          <w:highlight w:val="yellow"/>
          <w:lang w:val="es-ES"/>
          <w14:ligatures w14:val="standardContextual"/>
        </w:rPr>
        <w:t>sobre  diversas</w:t>
      </w:r>
      <w:proofErr w:type="gramEnd"/>
      <w:r w:rsidRPr="00FC6397">
        <w:rPr>
          <w:rFonts w:eastAsiaTheme="minorHAnsi"/>
          <w:kern w:val="2"/>
          <w:sz w:val="22"/>
          <w:szCs w:val="22"/>
          <w:highlight w:val="yellow"/>
          <w:lang w:val="es-ES"/>
          <w14:ligatures w14:val="standardContextual"/>
        </w:rPr>
        <w:t xml:space="preserve"> actividades que están llevando a cabo en materia de derechos fundamentales, cuya defensa es de interés común en ambas instituciones. Asimismo, se cambiaron impresiones sobre la puesta en marcha de la Ley Orgánica 1/2025, de 2 de enero, de medidas en materia de eficiencia del Servicio Público de Justicia.</w:t>
      </w:r>
      <w:r>
        <w:rPr>
          <w:rFonts w:eastAsiaTheme="minorHAnsi"/>
          <w:kern w:val="2"/>
          <w:sz w:val="22"/>
          <w:szCs w:val="22"/>
          <w:highlight w:val="yellow"/>
          <w:lang w:val="es-ES"/>
          <w14:ligatures w14:val="standardContextual"/>
        </w:rPr>
        <w:t xml:space="preserve"> </w:t>
      </w:r>
      <w:r w:rsidRPr="00FC6397">
        <w:rPr>
          <w:rFonts w:eastAsiaTheme="minorHAnsi"/>
          <w:kern w:val="2"/>
          <w:sz w:val="22"/>
          <w:szCs w:val="22"/>
          <w:highlight w:val="yellow"/>
          <w:lang w:val="es-ES"/>
          <w14:ligatures w14:val="standardContextual"/>
        </w:rPr>
        <w:t>También abordaron cuestiones centrales para el Estado de derecho, como la situación de la justicia, la garantía de los derechos humanos y el acceso efectivo a la tutela judicial. E intercambiaron impresiones sobre desafíos actuales de especial relevancia para ciudadanía y profesionales: la digitalización de la Administración de Justicia, la lucha contra la violencia de género, la atención a personas migrantes y solicitantes de asilo, así como la necesidad de asegurar el derecho de defensa en un contexto de creciente complejidad social y normativa.</w:t>
      </w:r>
      <w:r>
        <w:rPr>
          <w:rFonts w:eastAsiaTheme="minorHAnsi"/>
          <w:kern w:val="2"/>
          <w:sz w:val="22"/>
          <w:szCs w:val="22"/>
          <w:highlight w:val="yellow"/>
          <w:lang w:val="es-ES"/>
          <w14:ligatures w14:val="standardContextual"/>
        </w:rPr>
        <w:t xml:space="preserve"> </w:t>
      </w:r>
      <w:r w:rsidRPr="00FC6397">
        <w:rPr>
          <w:rFonts w:eastAsiaTheme="minorHAnsi"/>
          <w:kern w:val="2"/>
          <w:sz w:val="22"/>
          <w:szCs w:val="22"/>
          <w:highlight w:val="yellow"/>
          <w:lang w:val="es-ES"/>
          <w14:ligatures w14:val="standardContextual"/>
        </w:rPr>
        <w:t>El Defensor del Pueblo se interesó especialmente por la atención jurídica ofrecida a migrantes por parte de los abogados especializados del turno de oficio. En su último informe anual, correspondiente al año 2024, el Defensor del Pueblo puso en valor el trabajo realizado por el Consejo General de la Abogacía Española y los Colegios de la Abogacía para ofrecer asistencia jurídica a los migrantes que llegan a Canarias.</w:t>
      </w:r>
    </w:p>
    <w:p w14:paraId="37F891AE" w14:textId="167FF658" w:rsidR="00024E26" w:rsidRPr="00FC6397" w:rsidRDefault="00FC6397">
      <w:pPr>
        <w:pStyle w:val="Textoindependiente"/>
        <w:spacing w:line="352" w:lineRule="auto"/>
        <w:jc w:val="both"/>
        <w:rPr>
          <w:rFonts w:eastAsiaTheme="minorHAnsi"/>
          <w:color w:val="709FDB" w:themeColor="text2" w:themeTint="80"/>
          <w:kern w:val="2"/>
          <w:sz w:val="22"/>
          <w:szCs w:val="22"/>
          <w:highlight w:val="yellow"/>
          <w:u w:val="single"/>
          <w:lang w:val="es-ES"/>
          <w14:ligatures w14:val="standardContextual"/>
        </w:rPr>
      </w:pPr>
      <w:r w:rsidRPr="00FC6397">
        <w:rPr>
          <w:rFonts w:eastAsiaTheme="minorHAnsi"/>
          <w:color w:val="709FDB" w:themeColor="text2" w:themeTint="80"/>
          <w:kern w:val="2"/>
          <w:sz w:val="22"/>
          <w:szCs w:val="22"/>
          <w:highlight w:val="yellow"/>
          <w:u w:val="single"/>
          <w:lang w:val="es-ES"/>
          <w14:ligatures w14:val="standardContextual"/>
        </w:rPr>
        <w:t>https://www.abogacia.es/actualidad/noticias/salvador-gonzalez-presidente-de-la-abogacia-espanola-y-angel-gabilondo-defensor-del-pueblo-mantienen-su-primer-encuentro-institucional/</w:t>
      </w:r>
    </w:p>
    <w:p w14:paraId="55F99CF9" w14:textId="0F5CCAAC" w:rsidR="005A7C10" w:rsidRPr="003043F7" w:rsidRDefault="005A7C10" w:rsidP="005A7C10">
      <w:pPr>
        <w:pStyle w:val="NormalWeb"/>
        <w:jc w:val="both"/>
        <w:rPr>
          <w:rFonts w:ascii="Arial" w:eastAsiaTheme="minorHAnsi" w:hAnsi="Arial" w:cs="Arial"/>
          <w:kern w:val="2"/>
          <w:sz w:val="22"/>
          <w:szCs w:val="22"/>
          <w:highlight w:val="yellow"/>
          <w:lang w:eastAsia="en-US"/>
          <w14:ligatures w14:val="standardContextual"/>
        </w:rPr>
      </w:pPr>
      <w:r w:rsidRPr="003043F7">
        <w:rPr>
          <w:rFonts w:ascii="Arial" w:eastAsiaTheme="minorHAnsi" w:hAnsi="Arial" w:cs="Arial"/>
          <w:kern w:val="2"/>
          <w:sz w:val="22"/>
          <w:szCs w:val="22"/>
          <w:highlight w:val="yellow"/>
          <w:lang w:eastAsia="en-US"/>
          <w14:ligatures w14:val="standardContextual"/>
        </w:rPr>
        <w:t xml:space="preserve">El CGAE realiza importantes colaboraciones vía CCBE, el Consejo de la Abogacía Europea. Actualmente, dos españoles presiden los Comités de Migración y de Derecho Penal. </w:t>
      </w:r>
    </w:p>
    <w:p w14:paraId="29CEAC85" w14:textId="77777777" w:rsidR="001577A1" w:rsidRDefault="005A7C10" w:rsidP="001577A1">
      <w:pPr>
        <w:pStyle w:val="NormalWeb"/>
        <w:numPr>
          <w:ilvl w:val="0"/>
          <w:numId w:val="16"/>
        </w:numPr>
        <w:jc w:val="both"/>
        <w:rPr>
          <w:rFonts w:ascii="Arial" w:eastAsiaTheme="minorHAnsi" w:hAnsi="Arial" w:cs="Arial"/>
          <w:kern w:val="2"/>
          <w:sz w:val="22"/>
          <w:szCs w:val="22"/>
          <w:highlight w:val="yellow"/>
          <w:lang w:eastAsia="en-US"/>
          <w14:ligatures w14:val="standardContextual"/>
        </w:rPr>
      </w:pPr>
      <w:r w:rsidRPr="003043F7">
        <w:rPr>
          <w:rFonts w:ascii="Arial" w:eastAsiaTheme="minorHAnsi" w:hAnsi="Arial" w:cs="Arial"/>
          <w:kern w:val="2"/>
          <w:sz w:val="22"/>
          <w:szCs w:val="22"/>
          <w:highlight w:val="yellow"/>
          <w:lang w:eastAsia="en-US"/>
          <w14:ligatures w14:val="standardContextual"/>
        </w:rPr>
        <w:t>Desde el Comité de Migración, se ha elaborado una guía para abogados sobre el nuevo pacto de migración y asilo.</w:t>
      </w:r>
    </w:p>
    <w:p w14:paraId="6407D159" w14:textId="78BD4068" w:rsidR="005A7C10" w:rsidRPr="001577A1" w:rsidRDefault="005A7C10" w:rsidP="001577A1">
      <w:pPr>
        <w:pStyle w:val="NormalWeb"/>
        <w:ind w:left="720"/>
        <w:jc w:val="both"/>
        <w:rPr>
          <w:rFonts w:ascii="Arial" w:eastAsiaTheme="minorHAnsi" w:hAnsi="Arial" w:cs="Arial"/>
          <w:kern w:val="2"/>
          <w:sz w:val="22"/>
          <w:szCs w:val="22"/>
          <w:highlight w:val="yellow"/>
          <w:lang w:eastAsia="en-US"/>
          <w14:ligatures w14:val="standardContextual"/>
        </w:rPr>
      </w:pPr>
      <w:r w:rsidRPr="001577A1">
        <w:rPr>
          <w:rFonts w:ascii="Arial" w:eastAsiaTheme="minorHAnsi" w:hAnsi="Arial" w:cs="Arial"/>
          <w:color w:val="709FDB" w:themeColor="text2" w:themeTint="80"/>
          <w:kern w:val="2"/>
          <w:sz w:val="22"/>
          <w:szCs w:val="22"/>
          <w:highlight w:val="yellow"/>
          <w:u w:val="single"/>
          <w:lang w:eastAsia="en-US"/>
          <w14:ligatures w14:val="standardContextual"/>
        </w:rPr>
        <w:t>https://www.ccbe.eu/fileadmin/speciality_distribution/public/documents/MIGRATION/MIG_Position_papers/EN_MIG_20251127_CCBE-Guide-for-lawyers-on-the-New-Pact-on-Migration-and-Asylum.pdf.</w:t>
      </w:r>
      <w:r w:rsidRPr="001577A1">
        <w:rPr>
          <w:rFonts w:ascii="Arial" w:eastAsiaTheme="minorHAnsi" w:hAnsi="Arial" w:cs="Arial"/>
          <w:color w:val="709FDB" w:themeColor="text2" w:themeTint="80"/>
          <w:kern w:val="2"/>
          <w:sz w:val="22"/>
          <w:szCs w:val="22"/>
          <w:highlight w:val="yellow"/>
          <w:lang w:eastAsia="en-US"/>
          <w14:ligatures w14:val="standardContextual"/>
        </w:rPr>
        <w:t xml:space="preserve"> </w:t>
      </w:r>
      <w:r w:rsidRPr="001577A1">
        <w:rPr>
          <w:rFonts w:ascii="Arial" w:eastAsiaTheme="minorHAnsi" w:hAnsi="Arial" w:cs="Arial"/>
          <w:kern w:val="2"/>
          <w:sz w:val="22"/>
          <w:szCs w:val="22"/>
          <w:highlight w:val="yellow"/>
          <w:lang w:eastAsia="en-US"/>
          <w14:ligatures w14:val="standardContextual"/>
        </w:rPr>
        <w:t xml:space="preserve">Pronto estará disponible una versión en español producida por CGAE. </w:t>
      </w:r>
    </w:p>
    <w:p w14:paraId="1AF73BD2" w14:textId="77777777" w:rsidR="005A7C10" w:rsidRPr="003043F7" w:rsidRDefault="005A7C10" w:rsidP="005A7C10">
      <w:pPr>
        <w:pStyle w:val="NormalWeb"/>
        <w:numPr>
          <w:ilvl w:val="0"/>
          <w:numId w:val="16"/>
        </w:numPr>
        <w:jc w:val="both"/>
        <w:rPr>
          <w:rFonts w:ascii="Arial" w:eastAsiaTheme="minorHAnsi" w:hAnsi="Arial" w:cs="Arial"/>
          <w:kern w:val="2"/>
          <w:sz w:val="22"/>
          <w:szCs w:val="22"/>
          <w:highlight w:val="yellow"/>
          <w:lang w:eastAsia="en-US"/>
          <w14:ligatures w14:val="standardContextual"/>
        </w:rPr>
      </w:pPr>
      <w:r w:rsidRPr="003043F7">
        <w:rPr>
          <w:rFonts w:ascii="Arial" w:eastAsiaTheme="minorHAnsi" w:hAnsi="Arial" w:cs="Arial"/>
          <w:kern w:val="2"/>
          <w:sz w:val="22"/>
          <w:szCs w:val="22"/>
          <w:highlight w:val="yellow"/>
          <w:lang w:eastAsia="en-US"/>
          <w14:ligatures w14:val="standardContextual"/>
        </w:rPr>
        <w:t xml:space="preserve">Desde el Comité de Penal, se están realizando importantes contribuciones a la cultura del Estado de derecho, como por ejemplo a través de la participación en el Foro de Alto Nivel sobre el futuro de la justicia penal en la UE. </w:t>
      </w:r>
    </w:p>
    <w:p w14:paraId="48162769" w14:textId="77777777" w:rsidR="005A7C10" w:rsidRDefault="005A7C10">
      <w:pPr>
        <w:pStyle w:val="Textoindependiente"/>
        <w:spacing w:line="352" w:lineRule="auto"/>
        <w:jc w:val="both"/>
        <w:rPr>
          <w:lang w:val="es-ES"/>
        </w:rPr>
      </w:pPr>
    </w:p>
    <w:p w14:paraId="45581432" w14:textId="4C23FF36" w:rsidR="00C526EB" w:rsidRPr="00C526EB" w:rsidRDefault="00C526EB">
      <w:pPr>
        <w:pStyle w:val="Textoindependiente"/>
        <w:spacing w:line="352" w:lineRule="auto"/>
        <w:jc w:val="both"/>
        <w:rPr>
          <w:rFonts w:eastAsiaTheme="minorHAnsi"/>
          <w:color w:val="709FDB" w:themeColor="text2" w:themeTint="80"/>
          <w:kern w:val="2"/>
          <w:sz w:val="22"/>
          <w:szCs w:val="22"/>
          <w:highlight w:val="yellow"/>
          <w:u w:val="single"/>
          <w:lang w:val="es-ES"/>
          <w14:ligatures w14:val="standardContextual"/>
        </w:rPr>
        <w:sectPr w:rsidR="00C526EB" w:rsidRPr="00C526EB">
          <w:pgSz w:w="11910" w:h="16840"/>
          <w:pgMar w:top="660" w:right="708" w:bottom="480" w:left="850" w:header="0" w:footer="293" w:gutter="0"/>
          <w:cols w:space="720"/>
        </w:sectPr>
      </w:pPr>
    </w:p>
    <w:p w14:paraId="5F0BA67E" w14:textId="77777777" w:rsidR="00024E26" w:rsidRPr="005A7C10" w:rsidRDefault="00000000">
      <w:pPr>
        <w:spacing w:before="73"/>
        <w:ind w:left="395"/>
        <w:rPr>
          <w:i/>
          <w:sz w:val="19"/>
          <w:lang w:val="es-ES"/>
        </w:rPr>
      </w:pPr>
      <w:r w:rsidRPr="005A7C10">
        <w:rPr>
          <w:i/>
          <w:color w:val="666666"/>
          <w:sz w:val="19"/>
          <w:lang w:val="es-ES"/>
        </w:rPr>
        <w:lastRenderedPageBreak/>
        <w:t xml:space="preserve">5000 caracteres </w:t>
      </w:r>
      <w:r w:rsidRPr="005A7C10">
        <w:rPr>
          <w:i/>
          <w:color w:val="666666"/>
          <w:spacing w:val="-2"/>
          <w:sz w:val="19"/>
          <w:lang w:val="es-ES"/>
        </w:rPr>
        <w:t>como máximo</w:t>
      </w:r>
    </w:p>
    <w:p w14:paraId="5CFF11EE" w14:textId="77777777" w:rsidR="00024E26" w:rsidRPr="005A7C10" w:rsidRDefault="00000000">
      <w:pPr>
        <w:pStyle w:val="Textoindependiente"/>
        <w:spacing w:before="3"/>
        <w:rPr>
          <w:i/>
          <w:sz w:val="5"/>
          <w:lang w:val="es-ES"/>
        </w:rPr>
      </w:pPr>
      <w:r>
        <w:rPr>
          <w:i/>
          <w:noProof/>
          <w:sz w:val="5"/>
        </w:rPr>
        <mc:AlternateContent>
          <mc:Choice Requires="wps">
            <w:drawing>
              <wp:anchor distT="0" distB="0" distL="0" distR="0" simplePos="0" relativeHeight="487631872" behindDoc="1" locked="0" layoutInCell="1" allowOverlap="1" wp14:anchorId="546C4435" wp14:editId="5881992B">
                <wp:simplePos x="0" y="0"/>
                <wp:positionH relativeFrom="page">
                  <wp:posOffset>885825</wp:posOffset>
                </wp:positionH>
                <wp:positionV relativeFrom="paragraph">
                  <wp:posOffset>53795</wp:posOffset>
                </wp:positionV>
                <wp:extent cx="6191250" cy="390525"/>
                <wp:effectExtent l="0" t="0" r="0" b="0"/>
                <wp:wrapTopAndBottom/>
                <wp:docPr id="135" name="Graphic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7D58470C" id="Graphic 135" o:spid="_x0000_s1026" style="position:absolute;margin-left:69.75pt;margin-top:4.25pt;width:487.5pt;height:30.75pt;z-index:-15684608;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JE9EqLdAAAACQEAAA8AAABkcnMvZG93bnJldi54bWxMj81OwzAQhO9I&#10;vIO1SNyoHaBQQpwKIcEBAYK0cHZj40TE68g/TXh7tic47Y5mNPtttZ7dwPYmxN6jhGIhgBlsve7R&#10;SthuHs5WwGJSqNXg0Uj4MRHW9fFRpUrtJ3w3+yZZRiUYSyWhS2ksOY9tZ5yKCz8aJO/LB6cSyWC5&#10;DmqicjfwcyGuuFM90oVOjea+M+13k52E+bEIuXn5yDb0y/F5+nx9s09ZytOT+e4WWDJz+gvDAZ/Q&#10;oSamnc+oIxtIX9wsKSphRePgF8UlbTsJ10IAryv+/4P6FwAA//8DAFBLAQItABQABgAIAAAAIQC2&#10;gziS/gAAAOEBAAATAAAAAAAAAAAAAAAAAAAAAABbQ29udGVudF9UeXBlc10ueG1sUEsBAi0AFAAG&#10;AAgAAAAhADj9If/WAAAAlAEAAAsAAAAAAAAAAAAAAAAALwEAAF9yZWxzLy5yZWxzUEsBAi0AFAAG&#10;AAgAAAAhAHRL5wdVAgAA+AUAAA4AAAAAAAAAAAAAAAAALgIAAGRycy9lMm9Eb2MueG1sUEsBAi0A&#10;FAAGAAgAAAAhAJE9EqLdAAAACQEAAA8AAAAAAAAAAAAAAAAArwQAAGRycy9kb3ducmV2LnhtbFBL&#10;BQYAAAAABAAEAPMAAAC5BQAAAAA=&#10;" path="m6191250,r-9525,l6181725,9525r,371475l9525,381000r,-371475l6181725,9525r,-9525l,,,390525r6191250,l6191250,xe" fillcolor="#bababa" stroked="f">
                <v:path arrowok="t"/>
                <w10:wrap type="topAndBottom" anchorx="page"/>
              </v:shape>
            </w:pict>
          </mc:Fallback>
        </mc:AlternateContent>
      </w:r>
    </w:p>
    <w:p w14:paraId="405FAF5A" w14:textId="77777777" w:rsidR="00024E26" w:rsidRPr="005A7C10" w:rsidRDefault="00024E26">
      <w:pPr>
        <w:pStyle w:val="Textoindependiente"/>
        <w:spacing w:before="116"/>
        <w:rPr>
          <w:i/>
          <w:sz w:val="19"/>
          <w:lang w:val="es-ES"/>
        </w:rPr>
      </w:pPr>
    </w:p>
    <w:p w14:paraId="31D6EC02" w14:textId="77777777" w:rsidR="00024E26" w:rsidRPr="005A7C10" w:rsidRDefault="00000000">
      <w:pPr>
        <w:pStyle w:val="Ttulo2"/>
        <w:spacing w:line="355" w:lineRule="auto"/>
        <w:ind w:right="224"/>
        <w:rPr>
          <w:lang w:val="es-ES"/>
        </w:rPr>
      </w:pPr>
      <w:r w:rsidRPr="005A7C10">
        <w:rPr>
          <w:lang w:val="es-ES"/>
        </w:rPr>
        <w:t>Cualquier otro avance relacionado con el sistema de controles y contrapesos: especifique cuáles.</w:t>
      </w:r>
    </w:p>
    <w:p w14:paraId="1D28DA2D" w14:textId="77777777" w:rsidR="00024E26" w:rsidRPr="005A7C10" w:rsidRDefault="00000000">
      <w:pPr>
        <w:spacing w:line="217" w:lineRule="exact"/>
        <w:ind w:left="395"/>
        <w:rPr>
          <w:i/>
          <w:sz w:val="19"/>
          <w:lang w:val="es-ES"/>
        </w:rPr>
      </w:pPr>
      <w:r w:rsidRPr="005A7C10">
        <w:rPr>
          <w:i/>
          <w:color w:val="666666"/>
          <w:sz w:val="19"/>
          <w:lang w:val="es-ES"/>
        </w:rPr>
        <w:t xml:space="preserve">5000 caracteres </w:t>
      </w:r>
      <w:r w:rsidRPr="005A7C10">
        <w:rPr>
          <w:i/>
          <w:color w:val="666666"/>
          <w:spacing w:val="-2"/>
          <w:sz w:val="19"/>
          <w:lang w:val="es-ES"/>
        </w:rPr>
        <w:t>como máximo</w:t>
      </w:r>
    </w:p>
    <w:p w14:paraId="4346B4D5" w14:textId="77777777" w:rsidR="00024E26" w:rsidRPr="005A7C10" w:rsidRDefault="00000000">
      <w:pPr>
        <w:pStyle w:val="Textoindependiente"/>
        <w:spacing w:before="2"/>
        <w:rPr>
          <w:i/>
          <w:sz w:val="5"/>
          <w:lang w:val="es-ES"/>
        </w:rPr>
      </w:pPr>
      <w:r>
        <w:rPr>
          <w:i/>
          <w:noProof/>
          <w:sz w:val="5"/>
        </w:rPr>
        <mc:AlternateContent>
          <mc:Choice Requires="wps">
            <w:drawing>
              <wp:anchor distT="0" distB="0" distL="0" distR="0" simplePos="0" relativeHeight="487632384" behindDoc="1" locked="0" layoutInCell="1" allowOverlap="1" wp14:anchorId="7EDDE062" wp14:editId="20F600AC">
                <wp:simplePos x="0" y="0"/>
                <wp:positionH relativeFrom="page">
                  <wp:posOffset>885825</wp:posOffset>
                </wp:positionH>
                <wp:positionV relativeFrom="paragraph">
                  <wp:posOffset>53592</wp:posOffset>
                </wp:positionV>
                <wp:extent cx="6191250" cy="390525"/>
                <wp:effectExtent l="0" t="0" r="0" b="0"/>
                <wp:wrapTopAndBottom/>
                <wp:docPr id="136" name="Graphic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0" cy="390525"/>
                        </a:xfrm>
                        <a:custGeom>
                          <a:avLst/>
                          <a:gdLst/>
                          <a:ahLst/>
                          <a:cxnLst/>
                          <a:rect l="l" t="t" r="r" b="b"/>
                          <a:pathLst>
                            <a:path w="6191250" h="390525">
                              <a:moveTo>
                                <a:pt x="6191250" y="0"/>
                              </a:moveTo>
                              <a:lnTo>
                                <a:pt x="6181725" y="0"/>
                              </a:lnTo>
                              <a:lnTo>
                                <a:pt x="6181725" y="9525"/>
                              </a:lnTo>
                              <a:lnTo>
                                <a:pt x="6181725" y="381000"/>
                              </a:lnTo>
                              <a:lnTo>
                                <a:pt x="9525" y="381000"/>
                              </a:lnTo>
                              <a:lnTo>
                                <a:pt x="9525" y="9525"/>
                              </a:lnTo>
                              <a:lnTo>
                                <a:pt x="6181725" y="9525"/>
                              </a:lnTo>
                              <a:lnTo>
                                <a:pt x="6181725" y="0"/>
                              </a:lnTo>
                              <a:lnTo>
                                <a:pt x="0" y="0"/>
                              </a:lnTo>
                              <a:lnTo>
                                <a:pt x="0" y="390525"/>
                              </a:lnTo>
                              <a:lnTo>
                                <a:pt x="6191250" y="390525"/>
                              </a:lnTo>
                              <a:lnTo>
                                <a:pt x="6191250" y="0"/>
                              </a:lnTo>
                              <a:close/>
                            </a:path>
                          </a:pathLst>
                        </a:custGeom>
                        <a:solidFill>
                          <a:srgbClr val="BABABA"/>
                        </a:solidFill>
                      </wps:spPr>
                      <wps:bodyPr wrap="square" lIns="0" tIns="0" rIns="0" bIns="0" rtlCol="0">
                        <a:prstTxWarp prst="textNoShape">
                          <a:avLst/>
                        </a:prstTxWarp>
                        <a:noAutofit/>
                      </wps:bodyPr>
                    </wps:wsp>
                  </a:graphicData>
                </a:graphic>
              </wp:anchor>
            </w:drawing>
          </mc:Choice>
          <mc:Fallback>
            <w:pict>
              <v:shape w14:anchorId="27441C2D" id="Graphic 136" o:spid="_x0000_s1026" style="position:absolute;margin-left:69.75pt;margin-top:4.2pt;width:487.5pt;height:30.75pt;z-index:-15684096;visibility:visible;mso-wrap-style:square;mso-wrap-distance-left:0;mso-wrap-distance-top:0;mso-wrap-distance-right:0;mso-wrap-distance-bottom:0;mso-position-horizontal:absolute;mso-position-horizontal-relative:page;mso-position-vertical:absolute;mso-position-vertical-relative:text;v-text-anchor:top" coordsize="6191250,390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cHVQIAAPgFAAAOAAAAZHJzL2Uyb0RvYy54bWysVFFr2zAQfh/sPwi9L7ZT0iUmTulaOgal&#10;KzRlz4osx2ayT5OUOPn3O8mW4zawkTEC0sn6dPnu7rtb3hxqSfZCmwqajCaTmBLRcMirZpvR1/XD&#10;pzklxrImZxIakdGjMPRm9fHDslWpmEIJMheaoJPGpK3KaGmtSqPI8FLUzExAiQYvC9A1s3jU2yjX&#10;rEXvtYymcXwdtaBzpYELY/DrfXdJV95/UQhuvxeFEZbIjCI361ft141bo9WSpVvNVFnxngb7BxY1&#10;qxr808HVPbOM7HR15qquuAYDhZ1wqCMoiooLHwNGk8TvonkpmRI+FkyOUUOazP9zy5/2L+pZO+pG&#10;PQL/aTAjUatMOty4g+kxh0LXDovEycFn8ThkURws4fjxOlkk0xkmm+Pd1SKeTWcuzRFLw2u+M/ar&#10;AO+J7R+N7aqQB4uVweKHJpgaa+mqKH0VLSVYRU0JVnHTVVEx6945es4k7YhKOTBx1zXsxRo80Low&#10;BsYhGOR6wsjmLXaefMaIyAgbEGFXvdcTcnFKQgCF/Rx8NU/i2EsTeQRY2Du49+coXIK9iMRF4D+T&#10;RSn8NVkd5o1aQsRhD4nq1eWCH4srwMJ+Dn/PkkswolOmE4yX6CAiTP1YpgZklT9UUjrVGL3d3ElN&#10;9gz1+OXW/XqFj2C+ibq+cR20gfz4rEmLoyaj5teOaUGJ/NZgL7u5FAwdjE0wtJV34KeXF6w2dn34&#10;wbQiCs2MWmy7JwiTgqWhn5C/A3RY97KB252FonLN5rl1jPoDjhcffz8K3fwanz3qNLBXvwEAAP//&#10;AwBQSwMEFAAGAAgAAAAhADnZx5veAAAACQEAAA8AAABkcnMvZG93bnJldi54bWxMj81OwzAQhO9I&#10;vIO1SNyoE2irJsSpEBIcECAItGc3Nk5EvI7804S3Z3uC4+yMZr+ptrMd2FH70DsUkC8yYBpbp3o0&#10;Aj4/Hq42wEKUqOTgUAv40QG29flZJUvlJnzXxyYaRiUYSimgi3EsOQ9tp60MCzdqJO/LeSsjSW+4&#10;8nKicjvw6yxbcyt7pA+dHPV9p9vvJlkB82PuU/OyS8b3q/F52r++mackxOXFfHcLLOo5/oXhhE/o&#10;UBPTwSVUgQ2kb4oVRQVslsBOfp4v6XAQsC4K4HXF/y+ofwEAAP//AwBQSwECLQAUAAYACAAAACEA&#10;toM4kv4AAADhAQAAEwAAAAAAAAAAAAAAAAAAAAAAW0NvbnRlbnRfVHlwZXNdLnhtbFBLAQItABQA&#10;BgAIAAAAIQA4/SH/1gAAAJQBAAALAAAAAAAAAAAAAAAAAC8BAABfcmVscy8ucmVsc1BLAQItABQA&#10;BgAIAAAAIQB0S+cHVQIAAPgFAAAOAAAAAAAAAAAAAAAAAC4CAABkcnMvZTJvRG9jLnhtbFBLAQIt&#10;ABQABgAIAAAAIQA52ceb3gAAAAkBAAAPAAAAAAAAAAAAAAAAAK8EAABkcnMvZG93bnJldi54bWxQ&#10;SwUGAAAAAAQABADzAAAAugUAAAAA&#10;" path="m6191250,r-9525,l6181725,9525r,371475l9525,381000r,-371475l6181725,9525r,-9525l,,,390525r6191250,l6191250,xe" fillcolor="#bababa" stroked="f">
                <v:path arrowok="t"/>
                <w10:wrap type="topAndBottom" anchorx="page"/>
              </v:shape>
            </w:pict>
          </mc:Fallback>
        </mc:AlternateContent>
      </w:r>
    </w:p>
    <w:p w14:paraId="0A9429F9" w14:textId="77777777" w:rsidR="00024E26" w:rsidRPr="005A7C10" w:rsidRDefault="00024E26">
      <w:pPr>
        <w:pStyle w:val="Textoindependiente"/>
        <w:spacing w:before="115"/>
        <w:rPr>
          <w:i/>
          <w:sz w:val="19"/>
          <w:lang w:val="es-ES"/>
        </w:rPr>
      </w:pPr>
    </w:p>
    <w:p w14:paraId="711AD9B8" w14:textId="77777777" w:rsidR="00024E26" w:rsidRPr="005A7C10" w:rsidRDefault="00000000">
      <w:pPr>
        <w:pStyle w:val="Ttulo1"/>
        <w:spacing w:line="352" w:lineRule="auto"/>
        <w:rPr>
          <w:lang w:val="es-ES"/>
        </w:rPr>
      </w:pPr>
      <w:r>
        <w:rPr>
          <w:noProof/>
        </w:rPr>
        <mc:AlternateContent>
          <mc:Choice Requires="wps">
            <w:drawing>
              <wp:anchor distT="0" distB="0" distL="0" distR="0" simplePos="0" relativeHeight="15773696" behindDoc="0" locked="0" layoutInCell="1" allowOverlap="1" wp14:anchorId="18847DB6" wp14:editId="255A9D30">
                <wp:simplePos x="0" y="0"/>
                <wp:positionH relativeFrom="page">
                  <wp:posOffset>695325</wp:posOffset>
                </wp:positionH>
                <wp:positionV relativeFrom="paragraph">
                  <wp:posOffset>622629</wp:posOffset>
                </wp:positionV>
                <wp:extent cx="6381750" cy="19050"/>
                <wp:effectExtent l="0" t="0" r="0" b="0"/>
                <wp:wrapNone/>
                <wp:docPr id="137" name="Graphic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A1C2E5" id="Graphic 137" o:spid="_x0000_s1026" style="position:absolute;margin-left:54.75pt;margin-top:49.05pt;width:502.5pt;height:1.5pt;z-index:15773696;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HaJUxLfAAAACwEAAA8AAABkcnMvZG93bnJldi54bWxMj8FOwzAQRO9I/IO1&#10;SNyobVSqJsSpKiQq4EIpSHB0YhNHjddR7Kbh79mc4Dg7T7MzxWbyHRvtENuACuRCALNYB9Nio+Dj&#10;/fFmDSwmjUZ3Aa2CHxthU15eFDo34YxvdjykhlEIxlwrcCn1OeexdtbruAi9RfK+w+B1Ijk03Az6&#10;TOG+47dCrLjXLdIHp3v74Gx9PJy8gq+V2z+9iuNeppfncVllu+30uVPq+mra3gNLdkp/MMz1qTqU&#10;1KkKJzSRdaRFdkeogmwtgc2AlEu6VLMlJfCy4P83lL8AAAD//wMAUEsBAi0AFAAGAAgAAAAhALaD&#10;OJL+AAAA4QEAABMAAAAAAAAAAAAAAAAAAAAAAFtDb250ZW50X1R5cGVzXS54bWxQSwECLQAUAAYA&#10;CAAAACEAOP0h/9YAAACUAQAACwAAAAAAAAAAAAAAAAAvAQAAX3JlbHMvLnJlbHNQSwECLQAUAAYA&#10;CAAAACEAxnCryRkCAADBBAAADgAAAAAAAAAAAAAAAAAuAgAAZHJzL2Uyb0RvYy54bWxQSwECLQAU&#10;AAYACAAAACEAdolTEt8AAAALAQAADwAAAAAAAAAAAAAAAABzBAAAZHJzL2Rvd25yZXYueG1sUEsF&#10;BgAAAAAEAAQA8wAAAH8FAAAAAA==&#10;" path="m6381750,l,,,19050r6381750,l6381750,xe" fillcolor="black" stroked="f">
                <v:path arrowok="t"/>
                <w10:wrap anchorx="page"/>
              </v:shape>
            </w:pict>
          </mc:Fallback>
        </mc:AlternateContent>
      </w:r>
      <w:r w:rsidRPr="005A7C10">
        <w:rPr>
          <w:spacing w:val="-2"/>
          <w:lang w:val="es-ES"/>
        </w:rPr>
        <w:t>Elementos transversales: cuestiones transfronterizas relacionadas con el Estado de Derecho en el mercado único</w:t>
      </w:r>
    </w:p>
    <w:p w14:paraId="2E1F64C0" w14:textId="77777777" w:rsidR="00024E26" w:rsidRPr="005A7C10" w:rsidRDefault="00000000">
      <w:pPr>
        <w:pStyle w:val="Textoindependiente"/>
        <w:spacing w:before="326" w:line="352" w:lineRule="auto"/>
        <w:ind w:left="245"/>
        <w:rPr>
          <w:lang w:val="es-ES"/>
        </w:rPr>
      </w:pPr>
      <w:r w:rsidRPr="005A7C10">
        <w:rPr>
          <w:spacing w:val="-2"/>
          <w:lang w:val="es-ES"/>
        </w:rPr>
        <w:t xml:space="preserve">Si se ha </w:t>
      </w:r>
      <w:r w:rsidRPr="005A7C10">
        <w:rPr>
          <w:lang w:val="es-ES"/>
        </w:rPr>
        <w:t xml:space="preserve">enfrentado a </w:t>
      </w:r>
      <w:r w:rsidRPr="005A7C10">
        <w:rPr>
          <w:spacing w:val="-2"/>
          <w:lang w:val="es-ES"/>
        </w:rPr>
        <w:t xml:space="preserve">retos significativos en relación con el mercado único </w:t>
      </w:r>
      <w:r w:rsidRPr="005A7C10">
        <w:rPr>
          <w:lang w:val="es-ES"/>
        </w:rPr>
        <w:t>en un contexto transfronterizo en relación con cualquiera de los cuatro pilares del informe, incluyendo, por ejemplo, cuestiones relacionadas con el acceso al mercado y las condiciones para las actividades económicas, que desee destacar, hágalo aquí.</w:t>
      </w:r>
    </w:p>
    <w:p w14:paraId="0568EBCD" w14:textId="77777777" w:rsidR="00024E26" w:rsidRPr="005A7C10" w:rsidRDefault="00000000">
      <w:pPr>
        <w:spacing w:before="108"/>
        <w:ind w:left="245"/>
        <w:rPr>
          <w:i/>
          <w:sz w:val="16"/>
          <w:lang w:val="es-ES"/>
        </w:rPr>
      </w:pPr>
      <w:r w:rsidRPr="005A7C10">
        <w:rPr>
          <w:i/>
          <w:sz w:val="16"/>
          <w:lang w:val="es-ES"/>
        </w:rPr>
        <w:t xml:space="preserve">Dado el carácter transversal de esta cuestión, se incluye como sección independiente en el cuestionario. No obstante, la información recabada al </w:t>
      </w:r>
      <w:r w:rsidRPr="005A7C10">
        <w:rPr>
          <w:i/>
          <w:spacing w:val="-4"/>
          <w:sz w:val="16"/>
          <w:lang w:val="es-ES"/>
        </w:rPr>
        <w:t>respecto</w:t>
      </w:r>
    </w:p>
    <w:p w14:paraId="252AC6FB" w14:textId="77777777" w:rsidR="00024E26" w:rsidRPr="005A7C10" w:rsidRDefault="00024E26">
      <w:pPr>
        <w:pStyle w:val="Textoindependiente"/>
        <w:spacing w:before="94"/>
        <w:rPr>
          <w:i/>
          <w:sz w:val="16"/>
          <w:lang w:val="es-ES"/>
        </w:rPr>
      </w:pPr>
    </w:p>
    <w:p w14:paraId="752044CD" w14:textId="77777777" w:rsidR="00024E26" w:rsidRPr="005A7C10" w:rsidRDefault="00000000">
      <w:pPr>
        <w:ind w:left="245"/>
        <w:rPr>
          <w:i/>
          <w:sz w:val="16"/>
          <w:lang w:val="es-ES"/>
        </w:rPr>
      </w:pPr>
      <w:r w:rsidRPr="005A7C10">
        <w:rPr>
          <w:i/>
          <w:sz w:val="16"/>
          <w:lang w:val="es-ES"/>
        </w:rPr>
        <w:t xml:space="preserve">pregunta se integrará, no obstante, en los pilares pertinentes del </w:t>
      </w:r>
      <w:r w:rsidRPr="005A7C10">
        <w:rPr>
          <w:i/>
          <w:spacing w:val="-2"/>
          <w:sz w:val="16"/>
          <w:lang w:val="es-ES"/>
        </w:rPr>
        <w:t>informe.</w:t>
      </w:r>
    </w:p>
    <w:p w14:paraId="71FC6075" w14:textId="77777777" w:rsidR="00024E26" w:rsidRPr="005A7C10" w:rsidRDefault="00000000">
      <w:pPr>
        <w:spacing w:before="169"/>
        <w:ind w:left="395"/>
        <w:rPr>
          <w:i/>
          <w:sz w:val="19"/>
          <w:lang w:val="es-ES"/>
        </w:rPr>
      </w:pPr>
      <w:r w:rsidRPr="005A7C10">
        <w:rPr>
          <w:i/>
          <w:color w:val="666666"/>
          <w:spacing w:val="-2"/>
          <w:sz w:val="19"/>
          <w:lang w:val="es-ES"/>
        </w:rPr>
        <w:t>Máximo</w:t>
      </w:r>
      <w:r w:rsidRPr="005A7C10">
        <w:rPr>
          <w:i/>
          <w:color w:val="666666"/>
          <w:sz w:val="19"/>
          <w:lang w:val="es-ES"/>
        </w:rPr>
        <w:t xml:space="preserve"> 5000 caracteres</w:t>
      </w:r>
    </w:p>
    <w:p w14:paraId="3FD1479F" w14:textId="605E6EB1" w:rsidR="00014C44" w:rsidRPr="003D1407" w:rsidRDefault="00014C44" w:rsidP="003D1407">
      <w:pPr>
        <w:pStyle w:val="Prrafodelista"/>
        <w:numPr>
          <w:ilvl w:val="0"/>
          <w:numId w:val="19"/>
        </w:numPr>
        <w:spacing w:before="169"/>
        <w:rPr>
          <w:iCs/>
          <w:sz w:val="24"/>
          <w:szCs w:val="24"/>
          <w:highlight w:val="yellow"/>
          <w:lang w:val="es-ES"/>
        </w:rPr>
      </w:pPr>
      <w:r w:rsidRPr="003D1407">
        <w:rPr>
          <w:iCs/>
          <w:sz w:val="24"/>
          <w:szCs w:val="24"/>
          <w:highlight w:val="yellow"/>
          <w:lang w:val="es-ES"/>
        </w:rPr>
        <w:t>La interoperabilidad de estos sistemas con los de otros Estados miembros para facilitar litigios transfronterizos. Existe la necesidad de garantizar que la digitalización española sea compatible con los estándares europeos de justicia electrónica.</w:t>
      </w:r>
    </w:p>
    <w:p w14:paraId="420492D7" w14:textId="77777777" w:rsidR="005F3CD3" w:rsidRDefault="00014C44" w:rsidP="005F3CD3">
      <w:pPr>
        <w:pStyle w:val="Prrafodelista"/>
        <w:numPr>
          <w:ilvl w:val="0"/>
          <w:numId w:val="19"/>
        </w:numPr>
        <w:spacing w:before="169"/>
        <w:rPr>
          <w:iCs/>
          <w:sz w:val="24"/>
          <w:szCs w:val="24"/>
          <w:highlight w:val="yellow"/>
          <w:lang w:val="es-ES"/>
        </w:rPr>
      </w:pPr>
      <w:r w:rsidRPr="003D1407">
        <w:rPr>
          <w:iCs/>
          <w:sz w:val="24"/>
          <w:szCs w:val="24"/>
          <w:highlight w:val="yellow"/>
          <w:lang w:val="es-ES"/>
        </w:rPr>
        <w:t xml:space="preserve">Riesgos para el Estado de Derecho y el buen funcionamiento de la justicia por la adaptación que cada IA jurídica haga a los requisitos del AI </w:t>
      </w:r>
      <w:proofErr w:type="spellStart"/>
      <w:proofErr w:type="gramStart"/>
      <w:r w:rsidRPr="003D1407">
        <w:rPr>
          <w:iCs/>
          <w:sz w:val="24"/>
          <w:szCs w:val="24"/>
          <w:highlight w:val="yellow"/>
          <w:lang w:val="es-ES"/>
        </w:rPr>
        <w:t>Act</w:t>
      </w:r>
      <w:proofErr w:type="spellEnd"/>
      <w:proofErr w:type="gramEnd"/>
      <w:r w:rsidRPr="003D1407">
        <w:rPr>
          <w:iCs/>
          <w:sz w:val="24"/>
          <w:szCs w:val="24"/>
          <w:highlight w:val="yellow"/>
          <w:lang w:val="es-ES"/>
        </w:rPr>
        <w:t xml:space="preserve"> así como por las divergencias potenciales en la implementación nacional.</w:t>
      </w:r>
      <w:r w:rsidRPr="003D1407">
        <w:rPr>
          <w:iCs/>
          <w:sz w:val="24"/>
          <w:szCs w:val="24"/>
          <w:highlight w:val="yellow"/>
          <w:lang w:val="es-ES"/>
        </w:rPr>
        <w:t xml:space="preserve"> </w:t>
      </w:r>
    </w:p>
    <w:p w14:paraId="7A0D6F99" w14:textId="71ACCB2D" w:rsidR="00024E26" w:rsidRPr="005F3CD3" w:rsidRDefault="00014C44" w:rsidP="005F3CD3">
      <w:pPr>
        <w:pStyle w:val="Prrafodelista"/>
        <w:numPr>
          <w:ilvl w:val="0"/>
          <w:numId w:val="19"/>
        </w:numPr>
        <w:spacing w:before="169"/>
        <w:rPr>
          <w:iCs/>
          <w:sz w:val="24"/>
          <w:szCs w:val="24"/>
          <w:highlight w:val="yellow"/>
          <w:lang w:val="es-ES"/>
        </w:rPr>
      </w:pPr>
      <w:r w:rsidRPr="005F3CD3">
        <w:rPr>
          <w:iCs/>
          <w:sz w:val="24"/>
          <w:szCs w:val="24"/>
          <w:highlight w:val="yellow"/>
          <w:lang w:val="es-ES"/>
        </w:rPr>
        <w:t xml:space="preserve">Las divergencias dentro de la UE sobre la obligatoriedad o no de los ADR. Por ejemplo, algunas </w:t>
      </w:r>
      <w:r w:rsidR="007B7F2E" w:rsidRPr="005F3CD3">
        <w:rPr>
          <w:iCs/>
          <w:sz w:val="24"/>
          <w:szCs w:val="24"/>
          <w:highlight w:val="yellow"/>
          <w:lang w:val="es-ES"/>
        </w:rPr>
        <w:t xml:space="preserve">Comunidades </w:t>
      </w:r>
      <w:proofErr w:type="spellStart"/>
      <w:r w:rsidR="007B7F2E" w:rsidRPr="005F3CD3">
        <w:rPr>
          <w:iCs/>
          <w:sz w:val="24"/>
          <w:szCs w:val="24"/>
          <w:highlight w:val="yellow"/>
          <w:lang w:val="es-ES"/>
        </w:rPr>
        <w:t>Autonomas</w:t>
      </w:r>
      <w:proofErr w:type="spellEnd"/>
      <w:r w:rsidRPr="005F3CD3">
        <w:rPr>
          <w:iCs/>
          <w:sz w:val="24"/>
          <w:szCs w:val="24"/>
          <w:highlight w:val="yellow"/>
          <w:lang w:val="es-ES"/>
        </w:rPr>
        <w:t xml:space="preserve"> o</w:t>
      </w:r>
      <w:r w:rsidR="007B7F2E" w:rsidRPr="005F3CD3">
        <w:rPr>
          <w:iCs/>
          <w:sz w:val="24"/>
          <w:szCs w:val="24"/>
          <w:highlight w:val="yellow"/>
          <w:lang w:val="es-ES"/>
        </w:rPr>
        <w:t xml:space="preserve"> en</w:t>
      </w:r>
      <w:r w:rsidRPr="005F3CD3">
        <w:rPr>
          <w:iCs/>
          <w:sz w:val="24"/>
          <w:szCs w:val="24"/>
          <w:highlight w:val="yellow"/>
          <w:lang w:val="es-ES"/>
        </w:rPr>
        <w:t xml:space="preserve"> territorio común </w:t>
      </w:r>
      <w:r w:rsidR="007B7F2E" w:rsidRPr="005F3CD3">
        <w:rPr>
          <w:iCs/>
          <w:sz w:val="24"/>
          <w:szCs w:val="24"/>
          <w:highlight w:val="yellow"/>
          <w:lang w:val="es-ES"/>
        </w:rPr>
        <w:t>(</w:t>
      </w:r>
      <w:proofErr w:type="spellStart"/>
      <w:r w:rsidR="007B7F2E" w:rsidRPr="005F3CD3">
        <w:rPr>
          <w:iCs/>
          <w:sz w:val="24"/>
          <w:szCs w:val="24"/>
          <w:highlight w:val="yellow"/>
          <w:lang w:val="es-ES"/>
        </w:rPr>
        <w:t>CCAAs</w:t>
      </w:r>
      <w:proofErr w:type="spellEnd"/>
      <w:r w:rsidR="007B7F2E" w:rsidRPr="005F3CD3">
        <w:rPr>
          <w:iCs/>
          <w:sz w:val="24"/>
          <w:szCs w:val="24"/>
          <w:highlight w:val="yellow"/>
          <w:lang w:val="es-ES"/>
        </w:rPr>
        <w:t xml:space="preserve"> sin competencias en Justicia) </w:t>
      </w:r>
      <w:r w:rsidRPr="005F3CD3">
        <w:rPr>
          <w:iCs/>
          <w:sz w:val="24"/>
          <w:szCs w:val="24"/>
          <w:highlight w:val="yellow"/>
          <w:lang w:val="es-ES"/>
        </w:rPr>
        <w:t>no</w:t>
      </w:r>
      <w:r w:rsidR="007B7F2E" w:rsidRPr="005F3CD3">
        <w:rPr>
          <w:iCs/>
          <w:sz w:val="24"/>
          <w:szCs w:val="24"/>
          <w:highlight w:val="yellow"/>
          <w:lang w:val="es-ES"/>
        </w:rPr>
        <w:t xml:space="preserve"> se</w:t>
      </w:r>
      <w:r w:rsidRPr="005F3CD3">
        <w:rPr>
          <w:iCs/>
          <w:sz w:val="24"/>
          <w:szCs w:val="24"/>
          <w:highlight w:val="yellow"/>
          <w:lang w:val="es-ES"/>
        </w:rPr>
        <w:t xml:space="preserve"> cubren los MARC </w:t>
      </w:r>
      <w:r w:rsidR="007B7F2E" w:rsidRPr="005F3CD3">
        <w:rPr>
          <w:iCs/>
          <w:sz w:val="24"/>
          <w:szCs w:val="24"/>
          <w:highlight w:val="yellow"/>
          <w:lang w:val="es-ES"/>
        </w:rPr>
        <w:t xml:space="preserve">obligatorios por ley desde este año, </w:t>
      </w:r>
      <w:r w:rsidRPr="005F3CD3">
        <w:rPr>
          <w:iCs/>
          <w:sz w:val="24"/>
          <w:szCs w:val="24"/>
          <w:highlight w:val="yellow"/>
          <w:lang w:val="es-ES"/>
        </w:rPr>
        <w:t>aunque sí están cubierto</w:t>
      </w:r>
      <w:r w:rsidR="003D1407" w:rsidRPr="005F3CD3">
        <w:rPr>
          <w:iCs/>
          <w:sz w:val="24"/>
          <w:szCs w:val="24"/>
          <w:highlight w:val="yellow"/>
          <w:lang w:val="es-ES"/>
        </w:rPr>
        <w:t>s (en particular “</w:t>
      </w:r>
      <w:r w:rsidR="003D1407" w:rsidRPr="005F3CD3">
        <w:rPr>
          <w:iCs/>
          <w:sz w:val="24"/>
          <w:szCs w:val="24"/>
          <w:highlight w:val="yellow"/>
          <w:lang w:val="es-ES"/>
        </w:rPr>
        <w:t>el asesoramiento previo a la demanda con vistas a llegar a un acuerdo antes de la presentación de demanda</w:t>
      </w:r>
      <w:r w:rsidR="003D1407" w:rsidRPr="005F3CD3">
        <w:rPr>
          <w:iCs/>
          <w:sz w:val="24"/>
          <w:szCs w:val="24"/>
          <w:highlight w:val="yellow"/>
          <w:lang w:val="es-ES"/>
        </w:rPr>
        <w:t>”)</w:t>
      </w:r>
      <w:r w:rsidRPr="005F3CD3">
        <w:rPr>
          <w:iCs/>
          <w:sz w:val="24"/>
          <w:szCs w:val="24"/>
          <w:highlight w:val="yellow"/>
          <w:lang w:val="es-ES"/>
        </w:rPr>
        <w:t xml:space="preserve"> por la directiva 2003/8 </w:t>
      </w:r>
      <w:r w:rsidRPr="005F3CD3">
        <w:rPr>
          <w:iCs/>
          <w:sz w:val="24"/>
          <w:szCs w:val="24"/>
          <w:highlight w:val="yellow"/>
          <w:lang w:val="es-ES"/>
        </w:rPr>
        <w:t xml:space="preserve">de AJG en materia civil y mercantil </w:t>
      </w:r>
      <w:r w:rsidRPr="005F3CD3">
        <w:rPr>
          <w:iCs/>
          <w:sz w:val="24"/>
          <w:szCs w:val="24"/>
          <w:highlight w:val="yellow"/>
          <w:lang w:val="es-ES"/>
        </w:rPr>
        <w:t>para ciudadanos de otros EM de la UE</w:t>
      </w:r>
      <w:r w:rsidR="007B7F2E" w:rsidRPr="005F3CD3">
        <w:rPr>
          <w:iCs/>
          <w:sz w:val="24"/>
          <w:szCs w:val="24"/>
          <w:highlight w:val="yellow"/>
          <w:lang w:val="es-ES"/>
        </w:rPr>
        <w:t xml:space="preserve"> en litigios transfronterizos</w:t>
      </w:r>
      <w:r w:rsidRPr="005F3CD3">
        <w:rPr>
          <w:iCs/>
          <w:sz w:val="24"/>
          <w:szCs w:val="24"/>
          <w:highlight w:val="yellow"/>
          <w:lang w:val="es-ES"/>
        </w:rPr>
        <w:t>.</w:t>
      </w:r>
    </w:p>
    <w:p w14:paraId="707F2D9A" w14:textId="77777777" w:rsidR="00024E26" w:rsidRPr="005A7C10" w:rsidRDefault="00024E26">
      <w:pPr>
        <w:pStyle w:val="Textoindependiente"/>
        <w:spacing w:before="115"/>
        <w:rPr>
          <w:i/>
          <w:sz w:val="19"/>
          <w:lang w:val="es-ES"/>
        </w:rPr>
      </w:pPr>
    </w:p>
    <w:p w14:paraId="5A0551DF" w14:textId="77777777" w:rsidR="00024E26" w:rsidRPr="005A7C10" w:rsidRDefault="00000000">
      <w:pPr>
        <w:pStyle w:val="Ttulo1"/>
        <w:rPr>
          <w:lang w:val="es-ES"/>
        </w:rPr>
      </w:pPr>
      <w:r w:rsidRPr="005A7C10">
        <w:rPr>
          <w:spacing w:val="-4"/>
          <w:lang w:val="es-ES"/>
        </w:rPr>
        <w:t>Carga de documentos justificativos</w:t>
      </w:r>
    </w:p>
    <w:p w14:paraId="1922CBA1" w14:textId="77777777" w:rsidR="00024E26" w:rsidRPr="005A7C10" w:rsidRDefault="00000000">
      <w:pPr>
        <w:pStyle w:val="Textoindependiente"/>
        <w:spacing w:before="1"/>
        <w:rPr>
          <w:sz w:val="9"/>
          <w:lang w:val="es-ES"/>
        </w:rPr>
      </w:pPr>
      <w:r>
        <w:rPr>
          <w:noProof/>
          <w:sz w:val="9"/>
        </w:rPr>
        <mc:AlternateContent>
          <mc:Choice Requires="wps">
            <w:drawing>
              <wp:anchor distT="0" distB="0" distL="0" distR="0" simplePos="0" relativeHeight="487633408" behindDoc="1" locked="0" layoutInCell="1" allowOverlap="1" wp14:anchorId="06B7EAFD" wp14:editId="58BE9712">
                <wp:simplePos x="0" y="0"/>
                <wp:positionH relativeFrom="page">
                  <wp:posOffset>695325</wp:posOffset>
                </wp:positionH>
                <wp:positionV relativeFrom="paragraph">
                  <wp:posOffset>81627</wp:posOffset>
                </wp:positionV>
                <wp:extent cx="6381750" cy="19050"/>
                <wp:effectExtent l="0" t="0" r="0" b="0"/>
                <wp:wrapTopAndBottom/>
                <wp:docPr id="139" name="Graphic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81750" cy="19050"/>
                        </a:xfrm>
                        <a:custGeom>
                          <a:avLst/>
                          <a:gdLst/>
                          <a:ahLst/>
                          <a:cxnLst/>
                          <a:rect l="l" t="t" r="r" b="b"/>
                          <a:pathLst>
                            <a:path w="6381750" h="19050">
                              <a:moveTo>
                                <a:pt x="6381750" y="0"/>
                              </a:moveTo>
                              <a:lnTo>
                                <a:pt x="0" y="0"/>
                              </a:lnTo>
                              <a:lnTo>
                                <a:pt x="0" y="19050"/>
                              </a:lnTo>
                              <a:lnTo>
                                <a:pt x="6381750" y="19050"/>
                              </a:lnTo>
                              <a:lnTo>
                                <a:pt x="638175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B0B3B62" id="Graphic 139" o:spid="_x0000_s1026" style="position:absolute;margin-left:54.75pt;margin-top:6.45pt;width:502.5pt;height:1.5pt;z-index:-15683072;visibility:visible;mso-wrap-style:square;mso-wrap-distance-left:0;mso-wrap-distance-top:0;mso-wrap-distance-right:0;mso-wrap-distance-bottom:0;mso-position-horizontal:absolute;mso-position-horizontal-relative:page;mso-position-vertical:absolute;mso-position-vertical-relative:text;v-text-anchor:top" coordsize="638175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vJGQIAAMEEAAAOAAAAZHJzL2Uyb0RvYy54bWysVMFu2zAMvQ/YPwi6L046rGuNOMXQosOA&#10;oivQDDsrshwbk0WNVOL070fJkWtspw3LwabMZ/q9RzLrm1NvxdEgdeAquVospTBOQ925fSW/be/f&#10;XUlBQblaWXCmki+G5M3m7Zv14EtzAS3Y2qDgIo7KwVeyDcGXRUG6Nb2iBXjjONkA9irwEfdFjWrg&#10;6r0tLpbLy2IArD2CNkT89G5Myk2q3zRGh69NQyYIW0nmFtIV03UXr8Vmrco9Kt92+kxD/QOLXnWO&#10;PzqVulNBiQN2f5TqO41A0ISFhr6Apum0SRpYzWr5m5rnVnmTtLA55Ceb6P+V1Y/HZ/+EkTr5B9A/&#10;iB0pBk/llIkHOmNODfYRy8TFKbn4MrloTkFofnj5/mr18QObrTm3ul5yGGuqMr+sDxQ+G0iF1PGB&#10;wtiEOkeqzZE+uRwitzI20aYmBim4iSgFN3E3NtGrEN+L7GIohhmTNhOJ2R6OZgsJF6KIiW+WwlRf&#10;MdbNsaxqhsq5fPep3oiZC8/5fB9x8+/+HTobmutpC2RGj6P0ZPZkB6uZG05gu/q+szYaQLjf3VoU&#10;RxXXI/3OvZrB0jSMAxBHYQf1yxOKgXemkvTzoNBIYb84Hsq4YDnAHOxygMHeQlrD5D1S2J6+K/TC&#10;c1jJwPPzCHnkVZkng/lHwIiNbzr4dAjQdHFsEreR0fnAe5L0n3c6LuL8nFCv/zybXwAAAP//AwBQ&#10;SwMEFAAGAAgAAAAhABNV0HPfAAAACgEAAA8AAABkcnMvZG93bnJldi54bWxMj0FPwzAMhe9I/IfI&#10;SNxY0mmbaGk6TUhMwIUxkOCYNqat1jhVk3Xl3+Odxu09++n5c76eXCdGHELrSUMyUyCQKm9bqjV8&#10;fjzd3YMI0ZA1nSfU8IsB1sX1VW4y60/0juM+1oJLKGRGQxNjn0kZqgadCTPfI/Huxw/ORLZDLe1g&#10;TlzuOjlXaiWdaYkvNKbHxwarw/7oNHyvmt3zmzrskvj6Mi7KdLuZvrZa395MmwcQEad4CcMZn9Gh&#10;YKbSH8kG0bFX6ZKjLOYpiHMgSRY8KVktU5BFLv+/UPwBAAD//wMAUEsBAi0AFAAGAAgAAAAhALaD&#10;OJL+AAAA4QEAABMAAAAAAAAAAAAAAAAAAAAAAFtDb250ZW50X1R5cGVzXS54bWxQSwECLQAUAAYA&#10;CAAAACEAOP0h/9YAAACUAQAACwAAAAAAAAAAAAAAAAAvAQAAX3JlbHMvLnJlbHNQSwECLQAUAAYA&#10;CAAAACEAxnCryRkCAADBBAAADgAAAAAAAAAAAAAAAAAuAgAAZHJzL2Uyb0RvYy54bWxQSwECLQAU&#10;AAYACAAAACEAE1XQc98AAAAKAQAADwAAAAAAAAAAAAAAAABzBAAAZHJzL2Rvd25yZXYueG1sUEsF&#10;BgAAAAAEAAQA8wAAAH8FAAAAAA==&#10;" path="m6381750,l,,,19050r6381750,l6381750,xe" fillcolor="black" stroked="f">
                <v:path arrowok="t"/>
                <w10:wrap type="topAndBottom" anchorx="page"/>
              </v:shape>
            </w:pict>
          </mc:Fallback>
        </mc:AlternateContent>
      </w:r>
    </w:p>
    <w:p w14:paraId="66EA9D61" w14:textId="77777777" w:rsidR="00024E26" w:rsidRPr="005A7C10" w:rsidRDefault="00000000">
      <w:pPr>
        <w:pStyle w:val="Textoindependiente"/>
        <w:spacing w:before="330" w:line="352" w:lineRule="auto"/>
        <w:ind w:left="245" w:firstLine="49"/>
        <w:rPr>
          <w:lang w:val="es-ES"/>
        </w:rPr>
      </w:pPr>
      <w:r w:rsidRPr="005A7C10">
        <w:rPr>
          <w:spacing w:val="-2"/>
          <w:lang w:val="es-ES"/>
        </w:rPr>
        <w:t xml:space="preserve">Si desea enviar algún documento justificativo junto con su contribución, </w:t>
      </w:r>
      <w:r w:rsidRPr="005A7C10">
        <w:rPr>
          <w:lang w:val="es-ES"/>
        </w:rPr>
        <w:t>cargue aquí sus archivos.</w:t>
      </w:r>
    </w:p>
    <w:sectPr w:rsidR="00024E26" w:rsidRPr="005A7C10" w:rsidSect="00C02CC1">
      <w:pgSz w:w="11910" w:h="16840"/>
      <w:pgMar w:top="660" w:right="708" w:bottom="480" w:left="850" w:header="0" w:footer="29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9BBC0" w14:textId="77777777" w:rsidR="00811A73" w:rsidRDefault="00811A73">
      <w:r>
        <w:separator/>
      </w:r>
    </w:p>
  </w:endnote>
  <w:endnote w:type="continuationSeparator" w:id="0">
    <w:p w14:paraId="493668EA" w14:textId="77777777" w:rsidR="00811A73" w:rsidRDefault="00811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9F1FA" w14:textId="77777777" w:rsidR="00024E26" w:rsidRDefault="00000000">
    <w:pPr>
      <w:pStyle w:val="Textoindependiente"/>
      <w:spacing w:line="14" w:lineRule="auto"/>
      <w:rPr>
        <w:sz w:val="20"/>
      </w:rPr>
    </w:pPr>
    <w:r>
      <w:rPr>
        <w:noProof/>
        <w:sz w:val="20"/>
      </w:rPr>
      <mc:AlternateContent>
        <mc:Choice Requires="wps">
          <w:drawing>
            <wp:anchor distT="0" distB="0" distL="0" distR="0" simplePos="0" relativeHeight="487117312" behindDoc="1" locked="0" layoutInCell="1" allowOverlap="1" wp14:anchorId="6C2555B6" wp14:editId="6F56054D">
              <wp:simplePos x="0" y="0"/>
              <wp:positionH relativeFrom="page">
                <wp:posOffset>6937756</wp:posOffset>
              </wp:positionH>
              <wp:positionV relativeFrom="page">
                <wp:posOffset>10366205</wp:posOffset>
              </wp:positionV>
              <wp:extent cx="2159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5900" cy="194310"/>
                      </a:xfrm>
                      <a:prstGeom prst="rect">
                        <a:avLst/>
                      </a:prstGeom>
                    </wps:spPr>
                    <wps:txbx>
                      <w:txbxContent>
                        <w:p w14:paraId="23112F37" w14:textId="77777777" w:rsidR="00024E26" w:rsidRDefault="00000000">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6C2555B6" id="_x0000_t202" coordsize="21600,21600" o:spt="202" path="m,l,21600r21600,l21600,xe">
              <v:stroke joinstyle="miter"/>
              <v:path gradientshapeok="t" o:connecttype="rect"/>
            </v:shapetype>
            <v:shape id="Textbox 1" o:spid="_x0000_s1026" type="#_x0000_t202" style="position:absolute;margin-left:546.3pt;margin-top:816.25pt;width:17pt;height:15.3pt;z-index:-16199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TfSkwEAABoDAAAOAAAAZHJzL2Uyb0RvYy54bWysUtuO0zAQfUfiHyy/UyflIjZqugJWIKQV&#10;rLTwAa5jNxGxx8y4Tfr3jL1pi+AN8WKPPeMz55zx5nb2ozhapAFCK+tVJYUNBroh7Fv5/dvHF2+l&#10;oKRDp0cItpUnS/J2+/zZZoqNXUMPY2dRMEigZoqt7FOKjVJkeus1rSDawEkH6HXiI+5Vh3pidD+q&#10;dVW9URNgFxGMJeLbu6ek3BZ856xJX50jm8TYSuaWyopl3eVVbTe62aOO/WAWGvofWHg9BG56gbrT&#10;SYsDDn9B+cEgELi0MuAVODcYWzSwmrr6Q81jr6MtWtgciheb6P/Bmi/Hx/iAIs3vYeYBFhEU78H8&#10;IPZGTZGapSZ7Sg1xdRY6O/R5ZwmCH7K3p4ufdk7C8OW6fn1TccZwqr559bIufqvr44iUPlnwIget&#10;RB5XIaCP95Rye92cSxYuT+0zkTTvZi7J4Q66E2uYeIytpJ8HjVaK8XNgn/LMzwGeg905wDR+gPIz&#10;spQA7w4J3FA6X3GXzjyAQmj5LHnCv59L1fVLb38BAAD//wMAUEsDBBQABgAIAAAAIQDvNJ9T4QAA&#10;AA8BAAAPAAAAZHJzL2Rvd25yZXYueG1sTI/BTsMwEETvSPyDtUjcqJ1UWDTEqSoEJyREGg4cndhN&#10;osbrELtt+Hs2J3rbmR3Nvs23sxvY2U6h96ggWQlgFhtvemwVfFVvD0/AQtRo9ODRKvi1AbbF7U2u&#10;M+MvWNrzPraMSjBkWkEX45hxHprOOh1WfrRIu4OfnI4kp5abSV+o3A08FUJyp3ukC50e7Utnm+P+&#10;5BTsvrF87X8+6s/yUPZVtRH4Lo9K3d/Nu2dg0c7xPwwLPqFDQUy1P6EJbCAtNqmkLE1ynT4CWzJJ&#10;KsmrF0+uE+BFzq//KP4AAAD//wMAUEsBAi0AFAAGAAgAAAAhALaDOJL+AAAA4QEAABMAAAAAAAAA&#10;AAAAAAAAAAAAAFtDb250ZW50X1R5cGVzXS54bWxQSwECLQAUAAYACAAAACEAOP0h/9YAAACUAQAA&#10;CwAAAAAAAAAAAAAAAAAvAQAAX3JlbHMvLnJlbHNQSwECLQAUAAYACAAAACEAUgk30pMBAAAaAwAA&#10;DgAAAAAAAAAAAAAAAAAuAgAAZHJzL2Uyb0RvYy54bWxQSwECLQAUAAYACAAAACEA7zSfU+EAAAAP&#10;AQAADwAAAAAAAAAAAAAAAADtAwAAZHJzL2Rvd25yZXYueG1sUEsFBgAAAAAEAAQA8wAAAPsEAAAA&#10;AA==&#10;" filled="f" stroked="f">
              <v:textbox inset="0,0,0,0">
                <w:txbxContent>
                  <w:p w14:paraId="23112F37" w14:textId="77777777" w:rsidR="00024E26" w:rsidRDefault="00000000">
                    <w:pPr>
                      <w:spacing w:before="10"/>
                      <w:ind w:left="2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E2A59" w14:textId="77777777" w:rsidR="00811A73" w:rsidRDefault="00811A73">
      <w:r>
        <w:separator/>
      </w:r>
    </w:p>
  </w:footnote>
  <w:footnote w:type="continuationSeparator" w:id="0">
    <w:p w14:paraId="2FE5A614" w14:textId="77777777" w:rsidR="00811A73" w:rsidRDefault="00811A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image1"/>
      </v:shape>
    </w:pict>
  </w:numPicBullet>
  <w:numPicBullet w:numPicBulletId="1">
    <w:pict>
      <v:shape id="_x0000_i1026" type="#_x0000_t75" style="width:9.75pt;height:9.75pt" o:bullet="t">
        <v:imagedata r:id="rId2" o:title="image3"/>
      </v:shape>
    </w:pict>
  </w:numPicBullet>
  <w:numPicBullet w:numPicBulletId="2">
    <w:pict>
      <v:shape id="_x0000_i1027" type="#_x0000_t75" style="width:9pt;height:9pt" o:bullet="t">
        <v:imagedata r:id="rId3" o:title="image2"/>
      </v:shape>
    </w:pict>
  </w:numPicBullet>
  <w:numPicBullet w:numPicBulletId="3">
    <w:pict>
      <v:shape id="_x0000_i1028" type="#_x0000_t75" style="width:15.75pt;height:15pt" o:bullet="t">
        <v:imagedata r:id="rId4" o:title="image4"/>
      </v:shape>
    </w:pict>
  </w:numPicBullet>
  <w:abstractNum w:abstractNumId="0" w15:restartNumberingAfterBreak="0">
    <w:nsid w:val="FFFFFF88"/>
    <w:multiLevelType w:val="singleLevel"/>
    <w:tmpl w:val="3702B020"/>
    <w:lvl w:ilvl="0">
      <w:start w:val="1"/>
      <w:numFmt w:val="decimal"/>
      <w:pStyle w:val="Listaconnmeros"/>
      <w:lvlText w:val="%1."/>
      <w:lvlJc w:val="left"/>
      <w:pPr>
        <w:tabs>
          <w:tab w:val="num" w:pos="360"/>
        </w:tabs>
        <w:ind w:left="360" w:hanging="360"/>
      </w:pPr>
    </w:lvl>
  </w:abstractNum>
  <w:abstractNum w:abstractNumId="1" w15:restartNumberingAfterBreak="0">
    <w:nsid w:val="01F36AC7"/>
    <w:multiLevelType w:val="hybridMultilevel"/>
    <w:tmpl w:val="490A75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B283F67"/>
    <w:multiLevelType w:val="hybridMultilevel"/>
    <w:tmpl w:val="26EA42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4F76BF8"/>
    <w:multiLevelType w:val="hybridMultilevel"/>
    <w:tmpl w:val="A3E4D206"/>
    <w:lvl w:ilvl="0" w:tplc="CE2E7068">
      <w:start w:val="5000"/>
      <w:numFmt w:val="decimal"/>
      <w:lvlText w:val="%1"/>
      <w:lvlJc w:val="left"/>
      <w:pPr>
        <w:ind w:left="815" w:hanging="420"/>
      </w:pPr>
      <w:rPr>
        <w:rFonts w:hint="default"/>
        <w:color w:val="666666"/>
      </w:r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4" w15:restartNumberingAfterBreak="0">
    <w:nsid w:val="189A0127"/>
    <w:multiLevelType w:val="hybridMultilevel"/>
    <w:tmpl w:val="ACF49E28"/>
    <w:lvl w:ilvl="0" w:tplc="D514FDAC">
      <w:start w:val="1"/>
      <w:numFmt w:val="decimal"/>
      <w:lvlText w:val="(%1)"/>
      <w:lvlJc w:val="left"/>
      <w:pPr>
        <w:ind w:left="560" w:hanging="315"/>
        <w:jc w:val="left"/>
      </w:pPr>
      <w:rPr>
        <w:rFonts w:ascii="Arial" w:eastAsia="Arial" w:hAnsi="Arial" w:cs="Arial" w:hint="default"/>
        <w:b/>
        <w:bCs/>
        <w:i w:val="0"/>
        <w:iCs w:val="0"/>
        <w:spacing w:val="0"/>
        <w:w w:val="99"/>
        <w:sz w:val="21"/>
        <w:szCs w:val="21"/>
        <w:lang w:val="en-US" w:eastAsia="en-US" w:bidi="ar-SA"/>
      </w:rPr>
    </w:lvl>
    <w:lvl w:ilvl="1" w:tplc="31C26724">
      <w:numFmt w:val="bullet"/>
      <w:lvlText w:val="•"/>
      <w:lvlJc w:val="left"/>
      <w:pPr>
        <w:ind w:left="1538" w:hanging="315"/>
      </w:pPr>
      <w:rPr>
        <w:rFonts w:hint="default"/>
        <w:lang w:val="en-US" w:eastAsia="en-US" w:bidi="ar-SA"/>
      </w:rPr>
    </w:lvl>
    <w:lvl w:ilvl="2" w:tplc="4F003C3A">
      <w:numFmt w:val="bullet"/>
      <w:lvlText w:val="•"/>
      <w:lvlJc w:val="left"/>
      <w:pPr>
        <w:ind w:left="2517" w:hanging="315"/>
      </w:pPr>
      <w:rPr>
        <w:rFonts w:hint="default"/>
        <w:lang w:val="en-US" w:eastAsia="en-US" w:bidi="ar-SA"/>
      </w:rPr>
    </w:lvl>
    <w:lvl w:ilvl="3" w:tplc="F59053E6">
      <w:numFmt w:val="bullet"/>
      <w:lvlText w:val="•"/>
      <w:lvlJc w:val="left"/>
      <w:pPr>
        <w:ind w:left="3496" w:hanging="315"/>
      </w:pPr>
      <w:rPr>
        <w:rFonts w:hint="default"/>
        <w:lang w:val="en-US" w:eastAsia="en-US" w:bidi="ar-SA"/>
      </w:rPr>
    </w:lvl>
    <w:lvl w:ilvl="4" w:tplc="1A6AD016">
      <w:numFmt w:val="bullet"/>
      <w:lvlText w:val="•"/>
      <w:lvlJc w:val="left"/>
      <w:pPr>
        <w:ind w:left="4475" w:hanging="315"/>
      </w:pPr>
      <w:rPr>
        <w:rFonts w:hint="default"/>
        <w:lang w:val="en-US" w:eastAsia="en-US" w:bidi="ar-SA"/>
      </w:rPr>
    </w:lvl>
    <w:lvl w:ilvl="5" w:tplc="6960E42E">
      <w:numFmt w:val="bullet"/>
      <w:lvlText w:val="•"/>
      <w:lvlJc w:val="left"/>
      <w:pPr>
        <w:ind w:left="5453" w:hanging="315"/>
      </w:pPr>
      <w:rPr>
        <w:rFonts w:hint="default"/>
        <w:lang w:val="en-US" w:eastAsia="en-US" w:bidi="ar-SA"/>
      </w:rPr>
    </w:lvl>
    <w:lvl w:ilvl="6" w:tplc="49A0CE60">
      <w:numFmt w:val="bullet"/>
      <w:lvlText w:val="•"/>
      <w:lvlJc w:val="left"/>
      <w:pPr>
        <w:ind w:left="6432" w:hanging="315"/>
      </w:pPr>
      <w:rPr>
        <w:rFonts w:hint="default"/>
        <w:lang w:val="en-US" w:eastAsia="en-US" w:bidi="ar-SA"/>
      </w:rPr>
    </w:lvl>
    <w:lvl w:ilvl="7" w:tplc="C1A8E1DC">
      <w:numFmt w:val="bullet"/>
      <w:lvlText w:val="•"/>
      <w:lvlJc w:val="left"/>
      <w:pPr>
        <w:ind w:left="7411" w:hanging="315"/>
      </w:pPr>
      <w:rPr>
        <w:rFonts w:hint="default"/>
        <w:lang w:val="en-US" w:eastAsia="en-US" w:bidi="ar-SA"/>
      </w:rPr>
    </w:lvl>
    <w:lvl w:ilvl="8" w:tplc="5120C262">
      <w:numFmt w:val="bullet"/>
      <w:lvlText w:val="•"/>
      <w:lvlJc w:val="left"/>
      <w:pPr>
        <w:ind w:left="8390" w:hanging="315"/>
      </w:pPr>
      <w:rPr>
        <w:rFonts w:hint="default"/>
        <w:lang w:val="en-US" w:eastAsia="en-US" w:bidi="ar-SA"/>
      </w:rPr>
    </w:lvl>
  </w:abstractNum>
  <w:abstractNum w:abstractNumId="5" w15:restartNumberingAfterBreak="0">
    <w:nsid w:val="1E42138A"/>
    <w:multiLevelType w:val="hybridMultilevel"/>
    <w:tmpl w:val="879AA7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9B7011A"/>
    <w:multiLevelType w:val="hybridMultilevel"/>
    <w:tmpl w:val="F008F550"/>
    <w:lvl w:ilvl="0" w:tplc="BABA240A">
      <w:numFmt w:val="bullet"/>
      <w:lvlText w:val="&amp;"/>
      <w:lvlPicBulletId w:val="2"/>
      <w:lvlJc w:val="left"/>
      <w:pPr>
        <w:ind w:left="890" w:hanging="315"/>
      </w:pPr>
      <w:rPr>
        <w:rFonts w:ascii="Times New Roman" w:eastAsia="Times New Roman" w:hAnsi="Times New Roman" w:cs="Times New Roman" w:hint="default"/>
        <w:b w:val="0"/>
        <w:bCs w:val="0"/>
        <w:i w:val="0"/>
        <w:iCs w:val="0"/>
        <w:w w:val="100"/>
        <w:position w:val="5"/>
        <w:sz w:val="22"/>
        <w:szCs w:val="22"/>
        <w:lang w:val="en-US" w:eastAsia="en-US" w:bidi="ar-SA"/>
      </w:rPr>
    </w:lvl>
    <w:lvl w:ilvl="1" w:tplc="04F8E088">
      <w:numFmt w:val="bullet"/>
      <w:lvlText w:val="•"/>
      <w:lvlJc w:val="left"/>
      <w:pPr>
        <w:ind w:left="1844" w:hanging="315"/>
      </w:pPr>
      <w:rPr>
        <w:rFonts w:hint="default"/>
        <w:lang w:val="en-US" w:eastAsia="en-US" w:bidi="ar-SA"/>
      </w:rPr>
    </w:lvl>
    <w:lvl w:ilvl="2" w:tplc="67CEA588">
      <w:numFmt w:val="bullet"/>
      <w:lvlText w:val="•"/>
      <w:lvlJc w:val="left"/>
      <w:pPr>
        <w:ind w:left="2789" w:hanging="315"/>
      </w:pPr>
      <w:rPr>
        <w:rFonts w:hint="default"/>
        <w:lang w:val="en-US" w:eastAsia="en-US" w:bidi="ar-SA"/>
      </w:rPr>
    </w:lvl>
    <w:lvl w:ilvl="3" w:tplc="C402F308">
      <w:numFmt w:val="bullet"/>
      <w:lvlText w:val="•"/>
      <w:lvlJc w:val="left"/>
      <w:pPr>
        <w:ind w:left="3734" w:hanging="315"/>
      </w:pPr>
      <w:rPr>
        <w:rFonts w:hint="default"/>
        <w:lang w:val="en-US" w:eastAsia="en-US" w:bidi="ar-SA"/>
      </w:rPr>
    </w:lvl>
    <w:lvl w:ilvl="4" w:tplc="32AA1F30">
      <w:numFmt w:val="bullet"/>
      <w:lvlText w:val="•"/>
      <w:lvlJc w:val="left"/>
      <w:pPr>
        <w:ind w:left="4679" w:hanging="315"/>
      </w:pPr>
      <w:rPr>
        <w:rFonts w:hint="default"/>
        <w:lang w:val="en-US" w:eastAsia="en-US" w:bidi="ar-SA"/>
      </w:rPr>
    </w:lvl>
    <w:lvl w:ilvl="5" w:tplc="EE3E4B94">
      <w:numFmt w:val="bullet"/>
      <w:lvlText w:val="•"/>
      <w:lvlJc w:val="left"/>
      <w:pPr>
        <w:ind w:left="5623" w:hanging="315"/>
      </w:pPr>
      <w:rPr>
        <w:rFonts w:hint="default"/>
        <w:lang w:val="en-US" w:eastAsia="en-US" w:bidi="ar-SA"/>
      </w:rPr>
    </w:lvl>
    <w:lvl w:ilvl="6" w:tplc="BDD29382">
      <w:numFmt w:val="bullet"/>
      <w:lvlText w:val="•"/>
      <w:lvlJc w:val="left"/>
      <w:pPr>
        <w:ind w:left="6568" w:hanging="315"/>
      </w:pPr>
      <w:rPr>
        <w:rFonts w:hint="default"/>
        <w:lang w:val="en-US" w:eastAsia="en-US" w:bidi="ar-SA"/>
      </w:rPr>
    </w:lvl>
    <w:lvl w:ilvl="7" w:tplc="7E18EE28">
      <w:numFmt w:val="bullet"/>
      <w:lvlText w:val="•"/>
      <w:lvlJc w:val="left"/>
      <w:pPr>
        <w:ind w:left="7513" w:hanging="315"/>
      </w:pPr>
      <w:rPr>
        <w:rFonts w:hint="default"/>
        <w:lang w:val="en-US" w:eastAsia="en-US" w:bidi="ar-SA"/>
      </w:rPr>
    </w:lvl>
    <w:lvl w:ilvl="8" w:tplc="0D748B6A">
      <w:numFmt w:val="bullet"/>
      <w:lvlText w:val="•"/>
      <w:lvlJc w:val="left"/>
      <w:pPr>
        <w:ind w:left="8458" w:hanging="315"/>
      </w:pPr>
      <w:rPr>
        <w:rFonts w:hint="default"/>
        <w:lang w:val="en-US" w:eastAsia="en-US" w:bidi="ar-SA"/>
      </w:rPr>
    </w:lvl>
  </w:abstractNum>
  <w:abstractNum w:abstractNumId="7" w15:restartNumberingAfterBreak="0">
    <w:nsid w:val="38D74CFF"/>
    <w:multiLevelType w:val="hybridMultilevel"/>
    <w:tmpl w:val="CDF818F8"/>
    <w:lvl w:ilvl="0" w:tplc="BF44376E">
      <w:numFmt w:val="bullet"/>
      <w:lvlText w:val="-"/>
      <w:lvlJc w:val="left"/>
      <w:pPr>
        <w:ind w:left="530" w:hanging="360"/>
      </w:pPr>
      <w:rPr>
        <w:rFonts w:ascii="Arial" w:eastAsia="Arial" w:hAnsi="Arial" w:cs="Arial"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8" w15:restartNumberingAfterBreak="0">
    <w:nsid w:val="3A075EB8"/>
    <w:multiLevelType w:val="hybridMultilevel"/>
    <w:tmpl w:val="FDECEB5A"/>
    <w:lvl w:ilvl="0" w:tplc="9A38D854">
      <w:numFmt w:val="bullet"/>
      <w:lvlText w:val="&amp;"/>
      <w:lvlPicBulletId w:val="3"/>
      <w:lvlJc w:val="left"/>
      <w:pPr>
        <w:ind w:left="845" w:hanging="455"/>
      </w:pPr>
      <w:rPr>
        <w:rFonts w:ascii="Times New Roman" w:eastAsia="Times New Roman" w:hAnsi="Times New Roman" w:cs="Times New Roman" w:hint="default"/>
        <w:b w:val="0"/>
        <w:bCs w:val="0"/>
        <w:i w:val="0"/>
        <w:iCs w:val="0"/>
        <w:w w:val="100"/>
        <w:position w:val="7"/>
        <w:sz w:val="19"/>
        <w:szCs w:val="19"/>
        <w:lang w:val="en-US" w:eastAsia="en-US" w:bidi="ar-SA"/>
      </w:rPr>
    </w:lvl>
    <w:lvl w:ilvl="1" w:tplc="97261C2E">
      <w:numFmt w:val="bullet"/>
      <w:lvlText w:val="•"/>
      <w:lvlJc w:val="left"/>
      <w:pPr>
        <w:ind w:left="1790" w:hanging="455"/>
      </w:pPr>
      <w:rPr>
        <w:rFonts w:hint="default"/>
        <w:lang w:val="en-US" w:eastAsia="en-US" w:bidi="ar-SA"/>
      </w:rPr>
    </w:lvl>
    <w:lvl w:ilvl="2" w:tplc="856270C2">
      <w:numFmt w:val="bullet"/>
      <w:lvlText w:val="•"/>
      <w:lvlJc w:val="left"/>
      <w:pPr>
        <w:ind w:left="2741" w:hanging="455"/>
      </w:pPr>
      <w:rPr>
        <w:rFonts w:hint="default"/>
        <w:lang w:val="en-US" w:eastAsia="en-US" w:bidi="ar-SA"/>
      </w:rPr>
    </w:lvl>
    <w:lvl w:ilvl="3" w:tplc="4056764C">
      <w:numFmt w:val="bullet"/>
      <w:lvlText w:val="•"/>
      <w:lvlJc w:val="left"/>
      <w:pPr>
        <w:ind w:left="3692" w:hanging="455"/>
      </w:pPr>
      <w:rPr>
        <w:rFonts w:hint="default"/>
        <w:lang w:val="en-US" w:eastAsia="en-US" w:bidi="ar-SA"/>
      </w:rPr>
    </w:lvl>
    <w:lvl w:ilvl="4" w:tplc="A36609E2">
      <w:numFmt w:val="bullet"/>
      <w:lvlText w:val="•"/>
      <w:lvlJc w:val="left"/>
      <w:pPr>
        <w:ind w:left="4643" w:hanging="455"/>
      </w:pPr>
      <w:rPr>
        <w:rFonts w:hint="default"/>
        <w:lang w:val="en-US" w:eastAsia="en-US" w:bidi="ar-SA"/>
      </w:rPr>
    </w:lvl>
    <w:lvl w:ilvl="5" w:tplc="865AA26A">
      <w:numFmt w:val="bullet"/>
      <w:lvlText w:val="•"/>
      <w:lvlJc w:val="left"/>
      <w:pPr>
        <w:ind w:left="5593" w:hanging="455"/>
      </w:pPr>
      <w:rPr>
        <w:rFonts w:hint="default"/>
        <w:lang w:val="en-US" w:eastAsia="en-US" w:bidi="ar-SA"/>
      </w:rPr>
    </w:lvl>
    <w:lvl w:ilvl="6" w:tplc="3E28F65E">
      <w:numFmt w:val="bullet"/>
      <w:lvlText w:val="•"/>
      <w:lvlJc w:val="left"/>
      <w:pPr>
        <w:ind w:left="6544" w:hanging="455"/>
      </w:pPr>
      <w:rPr>
        <w:rFonts w:hint="default"/>
        <w:lang w:val="en-US" w:eastAsia="en-US" w:bidi="ar-SA"/>
      </w:rPr>
    </w:lvl>
    <w:lvl w:ilvl="7" w:tplc="F872BB3E">
      <w:numFmt w:val="bullet"/>
      <w:lvlText w:val="•"/>
      <w:lvlJc w:val="left"/>
      <w:pPr>
        <w:ind w:left="7495" w:hanging="455"/>
      </w:pPr>
      <w:rPr>
        <w:rFonts w:hint="default"/>
        <w:lang w:val="en-US" w:eastAsia="en-US" w:bidi="ar-SA"/>
      </w:rPr>
    </w:lvl>
    <w:lvl w:ilvl="8" w:tplc="BE6CE912">
      <w:numFmt w:val="bullet"/>
      <w:lvlText w:val="•"/>
      <w:lvlJc w:val="left"/>
      <w:pPr>
        <w:ind w:left="8446" w:hanging="455"/>
      </w:pPr>
      <w:rPr>
        <w:rFonts w:hint="default"/>
        <w:lang w:val="en-US" w:eastAsia="en-US" w:bidi="ar-SA"/>
      </w:rPr>
    </w:lvl>
  </w:abstractNum>
  <w:abstractNum w:abstractNumId="9" w15:restartNumberingAfterBreak="0">
    <w:nsid w:val="43C23F23"/>
    <w:multiLevelType w:val="hybridMultilevel"/>
    <w:tmpl w:val="8460D5A8"/>
    <w:lvl w:ilvl="0" w:tplc="AE8A4FE6">
      <w:start w:val="1"/>
      <w:numFmt w:val="decimal"/>
      <w:lvlText w:val="%1)"/>
      <w:lvlJc w:val="left"/>
      <w:pPr>
        <w:ind w:left="755" w:hanging="360"/>
      </w:pPr>
      <w:rPr>
        <w:rFonts w:hint="default"/>
      </w:r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0" w15:restartNumberingAfterBreak="0">
    <w:nsid w:val="451B5A84"/>
    <w:multiLevelType w:val="hybridMultilevel"/>
    <w:tmpl w:val="8028E61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94A303C"/>
    <w:multiLevelType w:val="hybridMultilevel"/>
    <w:tmpl w:val="59FEE632"/>
    <w:lvl w:ilvl="0" w:tplc="8AB0E818">
      <w:numFmt w:val="bullet"/>
      <w:lvlText w:val="&amp;"/>
      <w:lvlPicBulletId w:val="1"/>
      <w:lvlJc w:val="left"/>
      <w:pPr>
        <w:ind w:left="890" w:hanging="315"/>
      </w:pPr>
      <w:rPr>
        <w:rFonts w:ascii="Times New Roman" w:eastAsia="Times New Roman" w:hAnsi="Times New Roman" w:cs="Times New Roman" w:hint="default"/>
        <w:b w:val="0"/>
        <w:bCs w:val="0"/>
        <w:i w:val="0"/>
        <w:iCs w:val="0"/>
        <w:w w:val="100"/>
        <w:position w:val="4"/>
        <w:sz w:val="24"/>
        <w:szCs w:val="24"/>
        <w:lang w:val="en-US" w:eastAsia="en-US" w:bidi="ar-SA"/>
      </w:rPr>
    </w:lvl>
    <w:lvl w:ilvl="1" w:tplc="97C27920">
      <w:numFmt w:val="bullet"/>
      <w:lvlText w:val="•"/>
      <w:lvlJc w:val="left"/>
      <w:pPr>
        <w:ind w:left="1844" w:hanging="315"/>
      </w:pPr>
      <w:rPr>
        <w:rFonts w:hint="default"/>
        <w:lang w:val="en-US" w:eastAsia="en-US" w:bidi="ar-SA"/>
      </w:rPr>
    </w:lvl>
    <w:lvl w:ilvl="2" w:tplc="1C1CC414">
      <w:numFmt w:val="bullet"/>
      <w:lvlText w:val="•"/>
      <w:lvlJc w:val="left"/>
      <w:pPr>
        <w:ind w:left="2789" w:hanging="315"/>
      </w:pPr>
      <w:rPr>
        <w:rFonts w:hint="default"/>
        <w:lang w:val="en-US" w:eastAsia="en-US" w:bidi="ar-SA"/>
      </w:rPr>
    </w:lvl>
    <w:lvl w:ilvl="3" w:tplc="A4CE01F6">
      <w:numFmt w:val="bullet"/>
      <w:lvlText w:val="•"/>
      <w:lvlJc w:val="left"/>
      <w:pPr>
        <w:ind w:left="3734" w:hanging="315"/>
      </w:pPr>
      <w:rPr>
        <w:rFonts w:hint="default"/>
        <w:lang w:val="en-US" w:eastAsia="en-US" w:bidi="ar-SA"/>
      </w:rPr>
    </w:lvl>
    <w:lvl w:ilvl="4" w:tplc="79202C8A">
      <w:numFmt w:val="bullet"/>
      <w:lvlText w:val="•"/>
      <w:lvlJc w:val="left"/>
      <w:pPr>
        <w:ind w:left="4679" w:hanging="315"/>
      </w:pPr>
      <w:rPr>
        <w:rFonts w:hint="default"/>
        <w:lang w:val="en-US" w:eastAsia="en-US" w:bidi="ar-SA"/>
      </w:rPr>
    </w:lvl>
    <w:lvl w:ilvl="5" w:tplc="10249EE6">
      <w:numFmt w:val="bullet"/>
      <w:lvlText w:val="•"/>
      <w:lvlJc w:val="left"/>
      <w:pPr>
        <w:ind w:left="5623" w:hanging="315"/>
      </w:pPr>
      <w:rPr>
        <w:rFonts w:hint="default"/>
        <w:lang w:val="en-US" w:eastAsia="en-US" w:bidi="ar-SA"/>
      </w:rPr>
    </w:lvl>
    <w:lvl w:ilvl="6" w:tplc="5866B88C">
      <w:numFmt w:val="bullet"/>
      <w:lvlText w:val="•"/>
      <w:lvlJc w:val="left"/>
      <w:pPr>
        <w:ind w:left="6568" w:hanging="315"/>
      </w:pPr>
      <w:rPr>
        <w:rFonts w:hint="default"/>
        <w:lang w:val="en-US" w:eastAsia="en-US" w:bidi="ar-SA"/>
      </w:rPr>
    </w:lvl>
    <w:lvl w:ilvl="7" w:tplc="5E0A14BE">
      <w:numFmt w:val="bullet"/>
      <w:lvlText w:val="•"/>
      <w:lvlJc w:val="left"/>
      <w:pPr>
        <w:ind w:left="7513" w:hanging="315"/>
      </w:pPr>
      <w:rPr>
        <w:rFonts w:hint="default"/>
        <w:lang w:val="en-US" w:eastAsia="en-US" w:bidi="ar-SA"/>
      </w:rPr>
    </w:lvl>
    <w:lvl w:ilvl="8" w:tplc="3F2E32AE">
      <w:numFmt w:val="bullet"/>
      <w:lvlText w:val="•"/>
      <w:lvlJc w:val="left"/>
      <w:pPr>
        <w:ind w:left="8458" w:hanging="315"/>
      </w:pPr>
      <w:rPr>
        <w:rFonts w:hint="default"/>
        <w:lang w:val="en-US" w:eastAsia="en-US" w:bidi="ar-SA"/>
      </w:rPr>
    </w:lvl>
  </w:abstractNum>
  <w:abstractNum w:abstractNumId="12" w15:restartNumberingAfterBreak="0">
    <w:nsid w:val="5C0D1784"/>
    <w:multiLevelType w:val="hybridMultilevel"/>
    <w:tmpl w:val="D06E8D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5DF96F0D"/>
    <w:multiLevelType w:val="hybridMultilevel"/>
    <w:tmpl w:val="2DCA12B4"/>
    <w:lvl w:ilvl="0" w:tplc="F6BC1944">
      <w:start w:val="1"/>
      <w:numFmt w:val="upperLetter"/>
      <w:lvlText w:val="%1)"/>
      <w:lvlJc w:val="left"/>
      <w:pPr>
        <w:ind w:left="519" w:hanging="275"/>
        <w:jc w:val="left"/>
      </w:pPr>
      <w:rPr>
        <w:rFonts w:ascii="Arial" w:eastAsia="Arial" w:hAnsi="Arial" w:cs="Arial" w:hint="default"/>
        <w:b/>
        <w:bCs/>
        <w:i w:val="0"/>
        <w:iCs w:val="0"/>
        <w:spacing w:val="0"/>
        <w:w w:val="97"/>
        <w:sz w:val="21"/>
        <w:szCs w:val="21"/>
        <w:lang w:val="en-US" w:eastAsia="en-US" w:bidi="ar-SA"/>
      </w:rPr>
    </w:lvl>
    <w:lvl w:ilvl="1" w:tplc="C1B84D06">
      <w:numFmt w:val="bullet"/>
      <w:lvlText w:val="&amp;"/>
      <w:lvlPicBulletId w:val="0"/>
      <w:lvlJc w:val="left"/>
      <w:pPr>
        <w:ind w:left="845" w:hanging="354"/>
      </w:pPr>
      <w:rPr>
        <w:rFonts w:ascii="Times New Roman" w:eastAsia="Times New Roman" w:hAnsi="Times New Roman" w:cs="Times New Roman" w:hint="default"/>
        <w:b w:val="0"/>
        <w:bCs w:val="0"/>
        <w:i w:val="0"/>
        <w:iCs w:val="0"/>
        <w:w w:val="100"/>
        <w:position w:val="5"/>
        <w:sz w:val="16"/>
        <w:szCs w:val="16"/>
        <w:lang w:val="en-US" w:eastAsia="en-US" w:bidi="ar-SA"/>
      </w:rPr>
    </w:lvl>
    <w:lvl w:ilvl="2" w:tplc="310C0F36">
      <w:numFmt w:val="bullet"/>
      <w:lvlText w:val="•"/>
      <w:lvlJc w:val="left"/>
      <w:pPr>
        <w:ind w:left="1896" w:hanging="354"/>
      </w:pPr>
      <w:rPr>
        <w:rFonts w:hint="default"/>
        <w:lang w:val="en-US" w:eastAsia="en-US" w:bidi="ar-SA"/>
      </w:rPr>
    </w:lvl>
    <w:lvl w:ilvl="3" w:tplc="F9969F52">
      <w:numFmt w:val="bullet"/>
      <w:lvlText w:val="•"/>
      <w:lvlJc w:val="left"/>
      <w:pPr>
        <w:ind w:left="2952" w:hanging="354"/>
      </w:pPr>
      <w:rPr>
        <w:rFonts w:hint="default"/>
        <w:lang w:val="en-US" w:eastAsia="en-US" w:bidi="ar-SA"/>
      </w:rPr>
    </w:lvl>
    <w:lvl w:ilvl="4" w:tplc="8474B4F0">
      <w:numFmt w:val="bullet"/>
      <w:lvlText w:val="•"/>
      <w:lvlJc w:val="left"/>
      <w:pPr>
        <w:ind w:left="4009" w:hanging="354"/>
      </w:pPr>
      <w:rPr>
        <w:rFonts w:hint="default"/>
        <w:lang w:val="en-US" w:eastAsia="en-US" w:bidi="ar-SA"/>
      </w:rPr>
    </w:lvl>
    <w:lvl w:ilvl="5" w:tplc="E918EAF4">
      <w:numFmt w:val="bullet"/>
      <w:lvlText w:val="•"/>
      <w:lvlJc w:val="left"/>
      <w:pPr>
        <w:ind w:left="5065" w:hanging="354"/>
      </w:pPr>
      <w:rPr>
        <w:rFonts w:hint="default"/>
        <w:lang w:val="en-US" w:eastAsia="en-US" w:bidi="ar-SA"/>
      </w:rPr>
    </w:lvl>
    <w:lvl w:ilvl="6" w:tplc="267473D6">
      <w:numFmt w:val="bullet"/>
      <w:lvlText w:val="•"/>
      <w:lvlJc w:val="left"/>
      <w:pPr>
        <w:ind w:left="6122" w:hanging="354"/>
      </w:pPr>
      <w:rPr>
        <w:rFonts w:hint="default"/>
        <w:lang w:val="en-US" w:eastAsia="en-US" w:bidi="ar-SA"/>
      </w:rPr>
    </w:lvl>
    <w:lvl w:ilvl="7" w:tplc="34B43C18">
      <w:numFmt w:val="bullet"/>
      <w:lvlText w:val="•"/>
      <w:lvlJc w:val="left"/>
      <w:pPr>
        <w:ind w:left="7178" w:hanging="354"/>
      </w:pPr>
      <w:rPr>
        <w:rFonts w:hint="default"/>
        <w:lang w:val="en-US" w:eastAsia="en-US" w:bidi="ar-SA"/>
      </w:rPr>
    </w:lvl>
    <w:lvl w:ilvl="8" w:tplc="F320B27C">
      <w:numFmt w:val="bullet"/>
      <w:lvlText w:val="•"/>
      <w:lvlJc w:val="left"/>
      <w:pPr>
        <w:ind w:left="8234" w:hanging="354"/>
      </w:pPr>
      <w:rPr>
        <w:rFonts w:hint="default"/>
        <w:lang w:val="en-US" w:eastAsia="en-US" w:bidi="ar-SA"/>
      </w:rPr>
    </w:lvl>
  </w:abstractNum>
  <w:abstractNum w:abstractNumId="14" w15:restartNumberingAfterBreak="0">
    <w:nsid w:val="646538CF"/>
    <w:multiLevelType w:val="hybridMultilevel"/>
    <w:tmpl w:val="5A1AF3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4EF7FCC"/>
    <w:multiLevelType w:val="hybridMultilevel"/>
    <w:tmpl w:val="16AE5B7C"/>
    <w:lvl w:ilvl="0" w:tplc="FD181C12">
      <w:start w:val="1"/>
      <w:numFmt w:val="upperRoman"/>
      <w:lvlText w:val="%1."/>
      <w:lvlJc w:val="left"/>
      <w:pPr>
        <w:ind w:left="234" w:hanging="234"/>
        <w:jc w:val="left"/>
      </w:pPr>
      <w:rPr>
        <w:rFonts w:ascii="Arial" w:eastAsia="Arial" w:hAnsi="Arial" w:cs="Arial" w:hint="default"/>
        <w:b w:val="0"/>
        <w:bCs w:val="0"/>
        <w:i w:val="0"/>
        <w:iCs w:val="0"/>
        <w:spacing w:val="0"/>
        <w:w w:val="95"/>
        <w:sz w:val="30"/>
        <w:szCs w:val="30"/>
        <w:lang w:val="en-US" w:eastAsia="en-US" w:bidi="ar-SA"/>
      </w:rPr>
    </w:lvl>
    <w:lvl w:ilvl="1" w:tplc="431A8D18">
      <w:start w:val="1"/>
      <w:numFmt w:val="upperLetter"/>
      <w:lvlText w:val="%2."/>
      <w:lvlJc w:val="left"/>
      <w:pPr>
        <w:ind w:left="559" w:hanging="315"/>
        <w:jc w:val="left"/>
      </w:pPr>
      <w:rPr>
        <w:rFonts w:ascii="Arial" w:eastAsia="Arial" w:hAnsi="Arial" w:cs="Arial" w:hint="default"/>
        <w:b w:val="0"/>
        <w:bCs w:val="0"/>
        <w:i w:val="0"/>
        <w:iCs w:val="0"/>
        <w:spacing w:val="0"/>
        <w:w w:val="96"/>
        <w:sz w:val="27"/>
        <w:szCs w:val="27"/>
        <w:lang w:val="en-US" w:eastAsia="en-US" w:bidi="ar-SA"/>
      </w:rPr>
    </w:lvl>
    <w:lvl w:ilvl="2" w:tplc="4300EB08">
      <w:numFmt w:val="bullet"/>
      <w:lvlText w:val="•"/>
      <w:lvlJc w:val="left"/>
      <w:pPr>
        <w:ind w:left="560" w:hanging="315"/>
      </w:pPr>
      <w:rPr>
        <w:rFonts w:hint="default"/>
        <w:lang w:val="en-US" w:eastAsia="en-US" w:bidi="ar-SA"/>
      </w:rPr>
    </w:lvl>
    <w:lvl w:ilvl="3" w:tplc="1B446D48">
      <w:numFmt w:val="bullet"/>
      <w:lvlText w:val="•"/>
      <w:lvlJc w:val="left"/>
      <w:pPr>
        <w:ind w:left="1783" w:hanging="315"/>
      </w:pPr>
      <w:rPr>
        <w:rFonts w:hint="default"/>
        <w:lang w:val="en-US" w:eastAsia="en-US" w:bidi="ar-SA"/>
      </w:rPr>
    </w:lvl>
    <w:lvl w:ilvl="4" w:tplc="F4029C18">
      <w:numFmt w:val="bullet"/>
      <w:lvlText w:val="•"/>
      <w:lvlJc w:val="left"/>
      <w:pPr>
        <w:ind w:left="3006" w:hanging="315"/>
      </w:pPr>
      <w:rPr>
        <w:rFonts w:hint="default"/>
        <w:lang w:val="en-US" w:eastAsia="en-US" w:bidi="ar-SA"/>
      </w:rPr>
    </w:lvl>
    <w:lvl w:ilvl="5" w:tplc="AF9ED54A">
      <w:numFmt w:val="bullet"/>
      <w:lvlText w:val="•"/>
      <w:lvlJc w:val="left"/>
      <w:pPr>
        <w:ind w:left="4230" w:hanging="315"/>
      </w:pPr>
      <w:rPr>
        <w:rFonts w:hint="default"/>
        <w:lang w:val="en-US" w:eastAsia="en-US" w:bidi="ar-SA"/>
      </w:rPr>
    </w:lvl>
    <w:lvl w:ilvl="6" w:tplc="30B84FA2">
      <w:numFmt w:val="bullet"/>
      <w:lvlText w:val="•"/>
      <w:lvlJc w:val="left"/>
      <w:pPr>
        <w:ind w:left="5453" w:hanging="315"/>
      </w:pPr>
      <w:rPr>
        <w:rFonts w:hint="default"/>
        <w:lang w:val="en-US" w:eastAsia="en-US" w:bidi="ar-SA"/>
      </w:rPr>
    </w:lvl>
    <w:lvl w:ilvl="7" w:tplc="59E662D8">
      <w:numFmt w:val="bullet"/>
      <w:lvlText w:val="•"/>
      <w:lvlJc w:val="left"/>
      <w:pPr>
        <w:ind w:left="6677" w:hanging="315"/>
      </w:pPr>
      <w:rPr>
        <w:rFonts w:hint="default"/>
        <w:lang w:val="en-US" w:eastAsia="en-US" w:bidi="ar-SA"/>
      </w:rPr>
    </w:lvl>
    <w:lvl w:ilvl="8" w:tplc="5B148060">
      <w:numFmt w:val="bullet"/>
      <w:lvlText w:val="•"/>
      <w:lvlJc w:val="left"/>
      <w:pPr>
        <w:ind w:left="7900" w:hanging="315"/>
      </w:pPr>
      <w:rPr>
        <w:rFonts w:hint="default"/>
        <w:lang w:val="en-US" w:eastAsia="en-US" w:bidi="ar-SA"/>
      </w:rPr>
    </w:lvl>
  </w:abstractNum>
  <w:abstractNum w:abstractNumId="16" w15:restartNumberingAfterBreak="0">
    <w:nsid w:val="6B21293F"/>
    <w:multiLevelType w:val="hybridMultilevel"/>
    <w:tmpl w:val="FAE6F6EE"/>
    <w:lvl w:ilvl="0" w:tplc="B6C0547A">
      <w:start w:val="1"/>
      <w:numFmt w:val="decimal"/>
      <w:lvlText w:val="[%1]"/>
      <w:lvlJc w:val="left"/>
      <w:pPr>
        <w:ind w:left="462" w:hanging="218"/>
        <w:jc w:val="left"/>
      </w:pPr>
      <w:rPr>
        <w:rFonts w:ascii="Arial" w:eastAsia="Arial" w:hAnsi="Arial" w:cs="Arial" w:hint="default"/>
        <w:b w:val="0"/>
        <w:bCs w:val="0"/>
        <w:i w:val="0"/>
        <w:iCs w:val="0"/>
        <w:spacing w:val="0"/>
        <w:w w:val="99"/>
        <w:sz w:val="16"/>
        <w:szCs w:val="16"/>
        <w:lang w:val="en-US" w:eastAsia="en-US" w:bidi="ar-SA"/>
      </w:rPr>
    </w:lvl>
    <w:lvl w:ilvl="1" w:tplc="5574BC74">
      <w:numFmt w:val="bullet"/>
      <w:lvlText w:val="•"/>
      <w:lvlJc w:val="left"/>
      <w:pPr>
        <w:ind w:left="1448" w:hanging="218"/>
      </w:pPr>
      <w:rPr>
        <w:rFonts w:hint="default"/>
        <w:lang w:val="en-US" w:eastAsia="en-US" w:bidi="ar-SA"/>
      </w:rPr>
    </w:lvl>
    <w:lvl w:ilvl="2" w:tplc="254630FA">
      <w:numFmt w:val="bullet"/>
      <w:lvlText w:val="•"/>
      <w:lvlJc w:val="left"/>
      <w:pPr>
        <w:ind w:left="2437" w:hanging="218"/>
      </w:pPr>
      <w:rPr>
        <w:rFonts w:hint="default"/>
        <w:lang w:val="en-US" w:eastAsia="en-US" w:bidi="ar-SA"/>
      </w:rPr>
    </w:lvl>
    <w:lvl w:ilvl="3" w:tplc="4508AFB4">
      <w:numFmt w:val="bullet"/>
      <w:lvlText w:val="•"/>
      <w:lvlJc w:val="left"/>
      <w:pPr>
        <w:ind w:left="3426" w:hanging="218"/>
      </w:pPr>
      <w:rPr>
        <w:rFonts w:hint="default"/>
        <w:lang w:val="en-US" w:eastAsia="en-US" w:bidi="ar-SA"/>
      </w:rPr>
    </w:lvl>
    <w:lvl w:ilvl="4" w:tplc="23EA4392">
      <w:numFmt w:val="bullet"/>
      <w:lvlText w:val="•"/>
      <w:lvlJc w:val="left"/>
      <w:pPr>
        <w:ind w:left="4415" w:hanging="218"/>
      </w:pPr>
      <w:rPr>
        <w:rFonts w:hint="default"/>
        <w:lang w:val="en-US" w:eastAsia="en-US" w:bidi="ar-SA"/>
      </w:rPr>
    </w:lvl>
    <w:lvl w:ilvl="5" w:tplc="A8B841C4">
      <w:numFmt w:val="bullet"/>
      <w:lvlText w:val="•"/>
      <w:lvlJc w:val="left"/>
      <w:pPr>
        <w:ind w:left="5403" w:hanging="218"/>
      </w:pPr>
      <w:rPr>
        <w:rFonts w:hint="default"/>
        <w:lang w:val="en-US" w:eastAsia="en-US" w:bidi="ar-SA"/>
      </w:rPr>
    </w:lvl>
    <w:lvl w:ilvl="6" w:tplc="8D5C95D0">
      <w:numFmt w:val="bullet"/>
      <w:lvlText w:val="•"/>
      <w:lvlJc w:val="left"/>
      <w:pPr>
        <w:ind w:left="6392" w:hanging="218"/>
      </w:pPr>
      <w:rPr>
        <w:rFonts w:hint="default"/>
        <w:lang w:val="en-US" w:eastAsia="en-US" w:bidi="ar-SA"/>
      </w:rPr>
    </w:lvl>
    <w:lvl w:ilvl="7" w:tplc="EF1EFFE6">
      <w:numFmt w:val="bullet"/>
      <w:lvlText w:val="•"/>
      <w:lvlJc w:val="left"/>
      <w:pPr>
        <w:ind w:left="7381" w:hanging="218"/>
      </w:pPr>
      <w:rPr>
        <w:rFonts w:hint="default"/>
        <w:lang w:val="en-US" w:eastAsia="en-US" w:bidi="ar-SA"/>
      </w:rPr>
    </w:lvl>
    <w:lvl w:ilvl="8" w:tplc="D8B889FE">
      <w:numFmt w:val="bullet"/>
      <w:lvlText w:val="•"/>
      <w:lvlJc w:val="left"/>
      <w:pPr>
        <w:ind w:left="8370" w:hanging="218"/>
      </w:pPr>
      <w:rPr>
        <w:rFonts w:hint="default"/>
        <w:lang w:val="en-US" w:eastAsia="en-US" w:bidi="ar-SA"/>
      </w:rPr>
    </w:lvl>
  </w:abstractNum>
  <w:abstractNum w:abstractNumId="17" w15:restartNumberingAfterBreak="0">
    <w:nsid w:val="6E864DD3"/>
    <w:multiLevelType w:val="hybridMultilevel"/>
    <w:tmpl w:val="A2D65A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EEF26DA"/>
    <w:multiLevelType w:val="hybridMultilevel"/>
    <w:tmpl w:val="873A2A48"/>
    <w:lvl w:ilvl="0" w:tplc="89B46A0A">
      <w:numFmt w:val="bullet"/>
      <w:lvlText w:val="*"/>
      <w:lvlJc w:val="left"/>
      <w:pPr>
        <w:ind w:left="245" w:hanging="120"/>
      </w:pPr>
      <w:rPr>
        <w:rFonts w:ascii="Arial" w:eastAsia="Arial" w:hAnsi="Arial" w:cs="Arial" w:hint="default"/>
        <w:b/>
        <w:bCs/>
        <w:i w:val="0"/>
        <w:iCs w:val="0"/>
        <w:color w:val="ED0000"/>
        <w:spacing w:val="0"/>
        <w:w w:val="99"/>
        <w:position w:val="3"/>
        <w:sz w:val="21"/>
        <w:szCs w:val="21"/>
        <w:lang w:val="en-US" w:eastAsia="en-US" w:bidi="ar-SA"/>
      </w:rPr>
    </w:lvl>
    <w:lvl w:ilvl="1" w:tplc="5D6EB988">
      <w:numFmt w:val="bullet"/>
      <w:lvlText w:val="•"/>
      <w:lvlJc w:val="left"/>
      <w:pPr>
        <w:ind w:left="1250" w:hanging="120"/>
      </w:pPr>
      <w:rPr>
        <w:rFonts w:hint="default"/>
        <w:lang w:val="en-US" w:eastAsia="en-US" w:bidi="ar-SA"/>
      </w:rPr>
    </w:lvl>
    <w:lvl w:ilvl="2" w:tplc="085C0110">
      <w:numFmt w:val="bullet"/>
      <w:lvlText w:val="•"/>
      <w:lvlJc w:val="left"/>
      <w:pPr>
        <w:ind w:left="2261" w:hanging="120"/>
      </w:pPr>
      <w:rPr>
        <w:rFonts w:hint="default"/>
        <w:lang w:val="en-US" w:eastAsia="en-US" w:bidi="ar-SA"/>
      </w:rPr>
    </w:lvl>
    <w:lvl w:ilvl="3" w:tplc="1A882C40">
      <w:numFmt w:val="bullet"/>
      <w:lvlText w:val="•"/>
      <w:lvlJc w:val="left"/>
      <w:pPr>
        <w:ind w:left="3272" w:hanging="120"/>
      </w:pPr>
      <w:rPr>
        <w:rFonts w:hint="default"/>
        <w:lang w:val="en-US" w:eastAsia="en-US" w:bidi="ar-SA"/>
      </w:rPr>
    </w:lvl>
    <w:lvl w:ilvl="4" w:tplc="0C5C708E">
      <w:numFmt w:val="bullet"/>
      <w:lvlText w:val="•"/>
      <w:lvlJc w:val="left"/>
      <w:pPr>
        <w:ind w:left="4283" w:hanging="120"/>
      </w:pPr>
      <w:rPr>
        <w:rFonts w:hint="default"/>
        <w:lang w:val="en-US" w:eastAsia="en-US" w:bidi="ar-SA"/>
      </w:rPr>
    </w:lvl>
    <w:lvl w:ilvl="5" w:tplc="9482DD7E">
      <w:numFmt w:val="bullet"/>
      <w:lvlText w:val="•"/>
      <w:lvlJc w:val="left"/>
      <w:pPr>
        <w:ind w:left="5293" w:hanging="120"/>
      </w:pPr>
      <w:rPr>
        <w:rFonts w:hint="default"/>
        <w:lang w:val="en-US" w:eastAsia="en-US" w:bidi="ar-SA"/>
      </w:rPr>
    </w:lvl>
    <w:lvl w:ilvl="6" w:tplc="E7BA4E0E">
      <w:numFmt w:val="bullet"/>
      <w:lvlText w:val="•"/>
      <w:lvlJc w:val="left"/>
      <w:pPr>
        <w:ind w:left="6304" w:hanging="120"/>
      </w:pPr>
      <w:rPr>
        <w:rFonts w:hint="default"/>
        <w:lang w:val="en-US" w:eastAsia="en-US" w:bidi="ar-SA"/>
      </w:rPr>
    </w:lvl>
    <w:lvl w:ilvl="7" w:tplc="DC344498">
      <w:numFmt w:val="bullet"/>
      <w:lvlText w:val="•"/>
      <w:lvlJc w:val="left"/>
      <w:pPr>
        <w:ind w:left="7315" w:hanging="120"/>
      </w:pPr>
      <w:rPr>
        <w:rFonts w:hint="default"/>
        <w:lang w:val="en-US" w:eastAsia="en-US" w:bidi="ar-SA"/>
      </w:rPr>
    </w:lvl>
    <w:lvl w:ilvl="8" w:tplc="D28CD38E">
      <w:numFmt w:val="bullet"/>
      <w:lvlText w:val="•"/>
      <w:lvlJc w:val="left"/>
      <w:pPr>
        <w:ind w:left="8326" w:hanging="120"/>
      </w:pPr>
      <w:rPr>
        <w:rFonts w:hint="default"/>
        <w:lang w:val="en-US" w:eastAsia="en-US" w:bidi="ar-SA"/>
      </w:rPr>
    </w:lvl>
  </w:abstractNum>
  <w:abstractNum w:abstractNumId="19" w15:restartNumberingAfterBreak="0">
    <w:nsid w:val="784C3D66"/>
    <w:multiLevelType w:val="hybridMultilevel"/>
    <w:tmpl w:val="763090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583344012">
    <w:abstractNumId w:val="11"/>
  </w:num>
  <w:num w:numId="2" w16cid:durableId="871111928">
    <w:abstractNumId w:val="8"/>
  </w:num>
  <w:num w:numId="3" w16cid:durableId="967474162">
    <w:abstractNumId w:val="15"/>
  </w:num>
  <w:num w:numId="4" w16cid:durableId="719673806">
    <w:abstractNumId w:val="6"/>
  </w:num>
  <w:num w:numId="5" w16cid:durableId="43986948">
    <w:abstractNumId w:val="18"/>
  </w:num>
  <w:num w:numId="6" w16cid:durableId="434860880">
    <w:abstractNumId w:val="13"/>
  </w:num>
  <w:num w:numId="7" w16cid:durableId="2015377775">
    <w:abstractNumId w:val="16"/>
  </w:num>
  <w:num w:numId="8" w16cid:durableId="972828204">
    <w:abstractNumId w:val="4"/>
  </w:num>
  <w:num w:numId="9" w16cid:durableId="78526173">
    <w:abstractNumId w:val="17"/>
  </w:num>
  <w:num w:numId="10" w16cid:durableId="1028292495">
    <w:abstractNumId w:val="14"/>
  </w:num>
  <w:num w:numId="11" w16cid:durableId="1805536457">
    <w:abstractNumId w:val="19"/>
  </w:num>
  <w:num w:numId="12" w16cid:durableId="1359818584">
    <w:abstractNumId w:val="2"/>
  </w:num>
  <w:num w:numId="13" w16cid:durableId="1823504574">
    <w:abstractNumId w:val="12"/>
  </w:num>
  <w:num w:numId="14" w16cid:durableId="1614089230">
    <w:abstractNumId w:val="5"/>
  </w:num>
  <w:num w:numId="15" w16cid:durableId="1419214604">
    <w:abstractNumId w:val="10"/>
  </w:num>
  <w:num w:numId="16" w16cid:durableId="1469276586">
    <w:abstractNumId w:val="1"/>
  </w:num>
  <w:num w:numId="17" w16cid:durableId="769664643">
    <w:abstractNumId w:val="0"/>
  </w:num>
  <w:num w:numId="18" w16cid:durableId="2075002515">
    <w:abstractNumId w:val="7"/>
  </w:num>
  <w:num w:numId="19" w16cid:durableId="376468449">
    <w:abstractNumId w:val="9"/>
  </w:num>
  <w:num w:numId="20" w16cid:durableId="860701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E26"/>
    <w:rsid w:val="00001E07"/>
    <w:rsid w:val="00014C44"/>
    <w:rsid w:val="00024E26"/>
    <w:rsid w:val="00054849"/>
    <w:rsid w:val="00064DEC"/>
    <w:rsid w:val="001577A1"/>
    <w:rsid w:val="002437DF"/>
    <w:rsid w:val="003043F7"/>
    <w:rsid w:val="003D1407"/>
    <w:rsid w:val="005A7C10"/>
    <w:rsid w:val="005F3CD3"/>
    <w:rsid w:val="007B7F2E"/>
    <w:rsid w:val="00811A73"/>
    <w:rsid w:val="00B817BF"/>
    <w:rsid w:val="00C02CC1"/>
    <w:rsid w:val="00C526EB"/>
    <w:rsid w:val="00ED3262"/>
    <w:rsid w:val="00FA0972"/>
    <w:rsid w:val="00FC6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4D93DB"/>
  <w15:docId w15:val="{F90866B5-E492-447D-A27F-BB5E84282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Ttulo1">
    <w:name w:val="heading 1"/>
    <w:basedOn w:val="Normal"/>
    <w:uiPriority w:val="9"/>
    <w:qFormat/>
    <w:pPr>
      <w:ind w:left="245"/>
      <w:outlineLvl w:val="0"/>
    </w:pPr>
    <w:rPr>
      <w:sz w:val="30"/>
      <w:szCs w:val="30"/>
    </w:rPr>
  </w:style>
  <w:style w:type="paragraph" w:styleId="Ttulo2">
    <w:name w:val="heading 2"/>
    <w:basedOn w:val="Normal"/>
    <w:uiPriority w:val="9"/>
    <w:unhideWhenUsed/>
    <w:qFormat/>
    <w:pPr>
      <w:ind w:left="245"/>
      <w:outlineLvl w:val="1"/>
    </w:pPr>
    <w:rPr>
      <w:b/>
      <w:bCs/>
      <w:sz w:val="27"/>
      <w:szCs w:val="27"/>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7"/>
      <w:szCs w:val="27"/>
    </w:rPr>
  </w:style>
  <w:style w:type="paragraph" w:styleId="Ttulo">
    <w:name w:val="Title"/>
    <w:basedOn w:val="Normal"/>
    <w:uiPriority w:val="10"/>
    <w:qFormat/>
    <w:pPr>
      <w:spacing w:before="114"/>
      <w:ind w:left="170"/>
    </w:pPr>
    <w:rPr>
      <w:sz w:val="48"/>
      <w:szCs w:val="48"/>
    </w:rPr>
  </w:style>
  <w:style w:type="paragraph" w:styleId="Prrafodelista">
    <w:name w:val="List Paragraph"/>
    <w:basedOn w:val="Normal"/>
    <w:uiPriority w:val="34"/>
    <w:qFormat/>
    <w:pPr>
      <w:ind w:left="890" w:hanging="315"/>
    </w:pPr>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5A7C10"/>
    <w:rPr>
      <w:color w:val="0000FF" w:themeColor="hyperlink"/>
      <w:u w:val="single"/>
    </w:rPr>
  </w:style>
  <w:style w:type="paragraph" w:styleId="NormalWeb">
    <w:name w:val="Normal (Web)"/>
    <w:basedOn w:val="Normal"/>
    <w:uiPriority w:val="99"/>
    <w:unhideWhenUsed/>
    <w:rsid w:val="005A7C10"/>
    <w:pPr>
      <w:widowControl/>
      <w:autoSpaceDE/>
      <w:autoSpaceDN/>
      <w:spacing w:before="100" w:beforeAutospacing="1" w:after="100" w:afterAutospacing="1"/>
    </w:pPr>
    <w:rPr>
      <w:rFonts w:ascii="Times New Roman" w:eastAsia="Times New Roman" w:hAnsi="Times New Roman" w:cs="Times New Roman"/>
      <w:sz w:val="24"/>
      <w:szCs w:val="24"/>
      <w:lang w:val="es-ES" w:eastAsia="es-ES"/>
    </w:rPr>
  </w:style>
  <w:style w:type="character" w:styleId="Mencinsinresolver">
    <w:name w:val="Unresolved Mention"/>
    <w:basedOn w:val="Fuentedeprrafopredeter"/>
    <w:uiPriority w:val="99"/>
    <w:semiHidden/>
    <w:unhideWhenUsed/>
    <w:rsid w:val="00FA0972"/>
    <w:rPr>
      <w:color w:val="605E5C"/>
      <w:shd w:val="clear" w:color="auto" w:fill="E1DFDD"/>
    </w:rPr>
  </w:style>
  <w:style w:type="paragraph" w:styleId="Listaconnmeros">
    <w:name w:val="List Number"/>
    <w:basedOn w:val="Normal"/>
    <w:uiPriority w:val="99"/>
    <w:unhideWhenUsed/>
    <w:rsid w:val="003043F7"/>
    <w:pPr>
      <w:widowControl/>
      <w:numPr>
        <w:numId w:val="17"/>
      </w:numPr>
      <w:tabs>
        <w:tab w:val="clear" w:pos="360"/>
      </w:tabs>
      <w:autoSpaceDE/>
      <w:autoSpaceDN/>
      <w:spacing w:after="200" w:line="276" w:lineRule="auto"/>
      <w:ind w:left="0" w:firstLine="0"/>
      <w:contextualSpacing/>
    </w:pPr>
    <w:rPr>
      <w:rFonts w:asciiTheme="minorHAnsi" w:eastAsiaTheme="minorEastAsia" w:hAnsiTheme="minorHAnsi" w:cstheme="minorBidi"/>
    </w:rPr>
  </w:style>
  <w:style w:type="character" w:styleId="Textoennegrita">
    <w:name w:val="Strong"/>
    <w:basedOn w:val="Fuentedeprrafopredeter"/>
    <w:uiPriority w:val="22"/>
    <w:qFormat/>
    <w:rsid w:val="000548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abogacia.es/actualidad/noticias/la-abogacia-pide-respeto-a-las-decisiones-judiciales-y-urge-a-confeccionar-un-nuevo-protocolo-de-conformidad-con-la-fiscalia/" TargetMode="External"/><Relationship Id="rId18" Type="http://schemas.openxmlformats.org/officeDocument/2006/relationships/hyperlink" Target="https://www.abogacia.es/actualidad/noticias/la-reforma-que-habilitara-la-pasarela-al-reta-no-puede-esperar-mas-urge-a-la-solucion-al-problema-de-los-mutualistas/" TargetMode="External"/><Relationship Id="rId26" Type="http://schemas.openxmlformats.org/officeDocument/2006/relationships/hyperlink" Target="https://www.abogacia.es/actualidad/noticias/la-abogacia-europea-subraya-en-italia-la-importancia-del-convenio-para-la-proteccion-de-la-abogacia/" TargetMode="External"/><Relationship Id="rId39" Type="http://schemas.openxmlformats.org/officeDocument/2006/relationships/hyperlink" Target="https://www.abogacia.es/actualidad/noticias/el-presidente-de-la-abogacia-se-reune-con-el-presidente-del-tsj-y-el-fiscal-superior-de-justicia-de-murcia-para-buscar-soluciones-a-la-situacion-de-la-justicia-en-la-region/" TargetMode="External"/><Relationship Id="rId21" Type="http://schemas.openxmlformats.org/officeDocument/2006/relationships/hyperlink" Target="https://www.abogacia.es/actualidad/noticias/la-abogacia-espanola-asiste-al-juicio-contra-el-decano-del-colegio-de-abogados-de-estambul-y-su-junta/" TargetMode="External"/><Relationship Id="rId34" Type="http://schemas.openxmlformats.org/officeDocument/2006/relationships/hyperlink" Target="https://www.abogacia.es/actualidad/noticias/la-abogacia-espanola-se-volcara-en-2026-en-la-formacion-y-los-servicios-tecnologicos-al-colegiado/" TargetMode="External"/><Relationship Id="rId42" Type="http://schemas.openxmlformats.org/officeDocument/2006/relationships/hyperlink" Target="https://www.abogacia.es/actualidad/noticias/union-profesional-creara-una-comision-especial-frente-a-los-desastres-naturales-de-gran-magnitud/" TargetMode="External"/><Relationship Id="rId7" Type="http://schemas.openxmlformats.org/officeDocument/2006/relationships/hyperlink" Target="https://ec.europa.eu/eusurvey/files/13f6b6ff-97f2-4168-b489-028a1d7d55ae/41db9bc3-500c-4288-a857-4f76dbac033b" TargetMode="External"/><Relationship Id="rId2" Type="http://schemas.openxmlformats.org/officeDocument/2006/relationships/styles" Target="styles.xml"/><Relationship Id="rId16" Type="http://schemas.openxmlformats.org/officeDocument/2006/relationships/hyperlink" Target="https://www.abogacia.es/actualidad/noticias/la-abogacia-emplaza-al-senado-a-agilizar-la-reforma-de-la-pasarela-para-los-mutualistas-cuando-se-alcance-el-consenso/" TargetMode="External"/><Relationship Id="rId29" Type="http://schemas.openxmlformats.org/officeDocument/2006/relationships/hyperlink" Target="https://www.abogacia.es/actualidad/noticias/las-cifras-del-turno-de-oficio-revelan-que-su-reforma-es-inaplazabl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s://www.lawandtrends.com/noticias/abogacia/la-abogacia-pide-que-espana-ratifique-el-convenio-europeo-que-protege-la-profesion-1.html" TargetMode="External"/><Relationship Id="rId32" Type="http://schemas.openxmlformats.org/officeDocument/2006/relationships/hyperlink" Target="https://www.abogacia.es/formacion/" TargetMode="External"/><Relationship Id="rId37" Type="http://schemas.openxmlformats.org/officeDocument/2006/relationships/hyperlink" Target="https://www.abogacia.es/actualidad/noticias/la-abogacia-crea-un-consejo-asesor-sobre-innovacion-abogacia-y-justicia-digital/" TargetMode="External"/><Relationship Id="rId40" Type="http://schemas.openxmlformats.org/officeDocument/2006/relationships/hyperlink" Target="https://www.abogacia.es/actualidad/noticias/el-numero-de-asuntos-resueltos-en-los-organos-judiciales-aumenta-un-4-en-el-segundo-trimestre-de-2025/"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abogacia.es/actualidad/noticias/la-abogacia-se-dota-de-un-reglamento-de-amparo-colegial-para-proteger-mejor-a-abogados-y-abogadas/" TargetMode="External"/><Relationship Id="rId23" Type="http://schemas.openxmlformats.org/officeDocument/2006/relationships/hyperlink" Target="https://www.abogacia.es/actualidad/noticias/la-abogacia-comparte-con-ata-la-satisfaccion-por-la-paralizacion-de-la-subida-de-las-cuotas-de-los-autonomos/" TargetMode="External"/><Relationship Id="rId28" Type="http://schemas.openxmlformats.org/officeDocument/2006/relationships/hyperlink" Target="https://www.abogacia.es/actualidad/noticias/la-abogacia-espanola-exige-la-aplicacion-de-la-ley-para-hacer-efectiva-la-conciliacion-y-el-respeto-al-principio-del-derecho-de-defensa/" TargetMode="External"/><Relationship Id="rId36" Type="http://schemas.openxmlformats.org/officeDocument/2006/relationships/hyperlink" Target="https://www.abogacia.es/actualidad/noticias/la-gira-de-derechos-digitales-en-zaragoza-reclama-la-aplicacion-de-los-derechos-humanos-en-el-entorno-digital/" TargetMode="External"/><Relationship Id="rId10" Type="http://schemas.openxmlformats.org/officeDocument/2006/relationships/hyperlink" Target="https://www.abogacia.es/actualidad/noticias/la-comision-de-venecia-senala-que-la-incorporacion-de-abogados-en-ejercicio-como-vocales-garantiza-la-pluralidad-del-cgpj/" TargetMode="External"/><Relationship Id="rId19" Type="http://schemas.openxmlformats.org/officeDocument/2006/relationships/hyperlink" Target="https://www.abogacia.es/actualidad/noticias/el-parlamento-europeo-exhorta-al-gobierno-espanol-a-que-encuentre-soluciones-para-los-mutualistas-que-se-ajusten-a-las-leyes-de-la-ue/" TargetMode="External"/><Relationship Id="rId31" Type="http://schemas.openxmlformats.org/officeDocument/2006/relationships/hyperlink" Target="https://www.abogacia.es/actualidad/noticias/la-justicia-se-defiende-en-el-dia-a-dia/"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bogacia.es/actualidad/noticias/la-abogacia-espanola-expone-a-la-comision-de-venecia-la-necesidad-de-que-el-cgpj-cuente-con-vocales-de-la-abogacia/" TargetMode="External"/><Relationship Id="rId14" Type="http://schemas.openxmlformats.org/officeDocument/2006/relationships/hyperlink" Target="https://www.abogacia.es/actualidad/noticias/el-supremo-refuerza-la-importancia-de-la-confidencialidad-en-la-aplicacion-del-protocolo-de-conformidad-firmado-con-la-abogacia-espanola/" TargetMode="External"/><Relationship Id="rId22" Type="http://schemas.openxmlformats.org/officeDocument/2006/relationships/hyperlink" Target="%20%20%20https://www.abogacia.es/actualidad/noticias/el-consejo-general-de-la-abogacia-espanola-refuerza-el-secreto-profesional/" TargetMode="External"/><Relationship Id="rId27" Type="http://schemas.openxmlformats.org/officeDocument/2006/relationships/hyperlink" Target="https://www.abogacia.es/actualidad/noticias/la-abogacia-alerta-sobre-los-danos-que-ya-ha-causado-el-primer-dia-de-huelga-de-jueces-y-fiscales-y-pide-minimizar-su-impacto/" TargetMode="External"/><Relationship Id="rId30" Type="http://schemas.openxmlformats.org/officeDocument/2006/relationships/hyperlink" Target="https://confilegal.com/20260116-opinion-honorarios-sin-criterios/" TargetMode="External"/><Relationship Id="rId35" Type="http://schemas.openxmlformats.org/officeDocument/2006/relationships/hyperlink" Target="https://www.abogacia.es/actualidad/noticias/joaquin-delgado-el-reto-para-el-abogado-no-es-solo-aportar-la-prueba-digital-sino-demostrar-que-es-fiable-y-licita/" TargetMode="External"/><Relationship Id="rId43" Type="http://schemas.openxmlformats.org/officeDocument/2006/relationships/hyperlink" Target="https://www.abogacia.es/actualidad/noticias/la-abogacia-espanola-entrega-sus-premios-derechos-carlos-carnicer-dedicados-a-proteger-a-la-abogacia-defensora/" TargetMode="External"/><Relationship Id="rId8" Type="http://schemas.openxmlformats.org/officeDocument/2006/relationships/hyperlink" Target="https://www.coe.int/es/web/portal/-/venice-commission-opinion-on-election-of-judicial-members-of-the-general-council-of-the-judiciary-of-spain" TargetMode="External"/><Relationship Id="rId3" Type="http://schemas.openxmlformats.org/officeDocument/2006/relationships/settings" Target="settings.xml"/><Relationship Id="rId12" Type="http://schemas.openxmlformats.org/officeDocument/2006/relationships/hyperlink" Target="https://www.abogacia.es/actualidad/noticias/la-abogacia-reclama-mayor-especializacion-de-los-operadores-juridicos-y-critica-la-comarcalizacion-judicial-en-la-lucha-contra-la-violencia-de-genero/" TargetMode="External"/><Relationship Id="rId17" Type="http://schemas.openxmlformats.org/officeDocument/2006/relationships/hyperlink" Target="https://www.abogacia.es/actualidad/noticias/abogacia-y-organizaciones-de-mutualistas-afectados-reclaman-a-los-partidos-un-ultimo-esfuerzo-para-acordar-la-pasarela-al-reta/" TargetMode="External"/><Relationship Id="rId25" Type="http://schemas.openxmlformats.org/officeDocument/2006/relationships/hyperlink" Target="https://www.abogacia.es/actualidad/noticias/justicia-trabaja-para-que-espana-sea-uno-de-los-primeros-paises-en-ratificar-el-convenio-europeo-de-proteccion-de-la-abogacia/" TargetMode="External"/><Relationship Id="rId33" Type="http://schemas.openxmlformats.org/officeDocument/2006/relationships/hyperlink" Target="https://www.abogacia.es/actualidad/noticias/la-abogacia-reivindica-una-revolucion-digital-responsable-con-mas-formacion-para-aprovechar-la-ia-sin-perder-garantias/" TargetMode="External"/><Relationship Id="rId38" Type="http://schemas.openxmlformats.org/officeDocument/2006/relationships/hyperlink" Target="https://www.abogacia.es/actualidad/noticias/la-abogacia-pide-control-y-transparencia-en-el-nombramiento-de-administradores-concursales/" TargetMode="External"/><Relationship Id="rId20" Type="http://schemas.openxmlformats.org/officeDocument/2006/relationships/hyperlink" Target="https://www.abogacia.es/actualidad/noticias/salvador-gonzalez-subraya-la-importancia-de-defender-a-los-profesionales-de-la-abogacia/" TargetMode="External"/><Relationship Id="rId41" Type="http://schemas.openxmlformats.org/officeDocument/2006/relationships/hyperlink" Target="https://www.eca.europa.eu/en/Pages/SupremeAuditInstitutions.aspx"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7697</Words>
  <Characters>43879</Characters>
  <Application>Microsoft Office Word</Application>
  <DocSecurity>0</DocSecurity>
  <Lines>365</Lines>
  <Paragraphs>102</Paragraphs>
  <ScaleCrop>false</ScaleCrop>
  <Company/>
  <LinksUpToDate>false</LinksUpToDate>
  <CharactersWithSpaces>51474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EUSurvey - Survey X</dc:title>
  <dc:subject>c068c74e-547a-4159-82fb-cd3f546f8555</dc:subject>
  <dc:creator>jfernandez</dc:creator>
  <cp:keywords>968379, ArvalLuxembourgPneusHiver, docId:A7410A94C49FD9EF65EBB6AFC45785B7</cp:keywords>
  <cp:lastModifiedBy>Delegación CGAE Bruselas </cp:lastModifiedBy>
  <cp:revision>2</cp:revision>
  <dcterms:created xsi:type="dcterms:W3CDTF">2026-01-23T09:53:00Z</dcterms:created>
  <dcterms:modified xsi:type="dcterms:W3CDTF">2026-01-23T09:53:00Z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2025-12-04T00:00:00Z</vt:filetime>
  </property>
  <property fmtid="{D5CDD505-2E9C-101B-9397-08002B2CF9AE}" pid="3" name="Description">
    <vt:lpwstr>EUSurvey is an online survey-management system built for the creation and publishing of globally accessible forms, such as user satisfaction surveys and public consultations.</vt:lpwstr>
  </property>
  <property fmtid="{D5CDD505-2E9C-101B-9397-08002B2CF9AE}" pid="4" name="LastSaved">
    <vt:filetime>2026-01-15T00:00:00Z</vt:filetime>
  </property>
  <property fmtid="{D5CDD505-2E9C-101B-9397-08002B2CF9AE}" pid="5" name="Producer">
    <vt:lpwstr>iText 2.1.7 by 1T3XT</vt:lpwstr>
  </property>
  <property fmtid="{D5CDD505-2E9C-101B-9397-08002B2CF9AE}" pid="6" name="_csrf">
    <vt:lpwstr>2d8c5837-fd61-4221-bb82-4add2434499a</vt:lpwstr>
  </property>
  <property fmtid="{D5CDD505-2E9C-101B-9397-08002B2CF9AE}" pid="7" name="_csrf_header">
    <vt:lpwstr>X-CSRF-TOKEN</vt:lpwstr>
  </property>
  <property fmtid="{D5CDD505-2E9C-101B-9397-08002B2CF9AE}" pid="8" name="google-site-verification">
    <vt:lpwstr>VJsdHVpjHp_2oE-jFxDLuRw_S7I8_T_mWKhn8jRbv8I</vt:lpwstr>
  </property>
  <property fmtid="{D5CDD505-2E9C-101B-9397-08002B2CF9AE}" pid="9" name="robots">
    <vt:lpwstr>noindex</vt:lpwstr>
  </property>
  <property fmtid="{D5CDD505-2E9C-101B-9397-08002B2CF9AE}" pid="10" name="viewport">
    <vt:lpwstr>width=device-width, initial-scale=1</vt:lpwstr>
  </property>
  <property fmtid="{D5CDD505-2E9C-101B-9397-08002B2CF9AE}" pid="11" name="_NewReviewCycle">
    <vt:lpwstr/>
  </property>
</Properties>
</file>